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1E" w:rsidRPr="002F301E" w:rsidRDefault="002F301E" w:rsidP="002F301E">
      <w:pPr>
        <w:tabs>
          <w:tab w:val="left" w:pos="4536"/>
          <w:tab w:val="left" w:pos="4678"/>
        </w:tabs>
        <w:spacing w:after="240"/>
        <w:rPr>
          <w:rFonts w:eastAsiaTheme="minorHAnsi" w:cs="Arial"/>
          <w:b/>
          <w:sz w:val="24"/>
          <w:lang w:eastAsia="en-US"/>
        </w:rPr>
      </w:pPr>
      <w:r w:rsidRPr="002F301E">
        <w:rPr>
          <w:rFonts w:eastAsiaTheme="minorHAnsi" w:cs="Arial"/>
          <w:b/>
          <w:sz w:val="24"/>
          <w:lang w:eastAsia="en-US"/>
        </w:rPr>
        <w:t xml:space="preserve">Allgemeinverfügung zur </w:t>
      </w:r>
      <w:proofErr w:type="spellStart"/>
      <w:r w:rsidRPr="002F301E">
        <w:rPr>
          <w:rFonts w:eastAsiaTheme="minorHAnsi" w:cs="Arial"/>
          <w:b/>
          <w:sz w:val="24"/>
          <w:lang w:eastAsia="en-US"/>
        </w:rPr>
        <w:t>Aufstallung</w:t>
      </w:r>
      <w:proofErr w:type="spellEnd"/>
      <w:r w:rsidRPr="002F301E">
        <w:rPr>
          <w:rFonts w:eastAsiaTheme="minorHAnsi" w:cs="Arial"/>
          <w:b/>
          <w:sz w:val="24"/>
          <w:lang w:eastAsia="en-US"/>
        </w:rPr>
        <w:t xml:space="preserve"> für Geflügelhalter</w:t>
      </w:r>
    </w:p>
    <w:p w:rsidR="003C7C4D" w:rsidRPr="002F301E" w:rsidRDefault="003C7C4D" w:rsidP="00850B95">
      <w:pPr>
        <w:spacing w:after="120"/>
        <w:rPr>
          <w:rFonts w:eastAsia="Times New Roman" w:cs="Arial"/>
          <w:sz w:val="24"/>
          <w:szCs w:val="24"/>
          <w:lang w:eastAsia="de-DE"/>
        </w:rPr>
      </w:pPr>
      <w:r w:rsidRPr="002F301E">
        <w:rPr>
          <w:rFonts w:eastAsia="Times New Roman" w:cs="Arial"/>
          <w:sz w:val="24"/>
          <w:szCs w:val="24"/>
          <w:lang w:eastAsia="de-DE"/>
        </w:rPr>
        <w:t xml:space="preserve">Der Lebensmittelüberwachungs-, Tierschutz- und Veterinärdienst des Landes Bremen erlässt auf Grundlage des § 13 Abs. 1 der </w:t>
      </w:r>
      <w:r w:rsidR="007A57CF" w:rsidRPr="002F301E">
        <w:rPr>
          <w:rFonts w:eastAsia="Times New Roman" w:cs="Arial"/>
          <w:sz w:val="24"/>
          <w:szCs w:val="24"/>
          <w:lang w:eastAsia="de-DE"/>
        </w:rPr>
        <w:t>Verordnung zum Schutz gegen die Geflügelpest (</w:t>
      </w:r>
      <w:r w:rsidRPr="002F301E">
        <w:rPr>
          <w:rFonts w:eastAsia="Times New Roman" w:cs="Arial"/>
          <w:sz w:val="24"/>
          <w:szCs w:val="24"/>
          <w:lang w:eastAsia="de-DE"/>
        </w:rPr>
        <w:t>Geflügelpest-Verordnung</w:t>
      </w:r>
      <w:r w:rsidR="008713F2" w:rsidRPr="002F301E">
        <w:rPr>
          <w:rStyle w:val="Endnotenzeichen"/>
          <w:rFonts w:eastAsia="Times New Roman" w:cs="Arial"/>
          <w:sz w:val="24"/>
          <w:szCs w:val="24"/>
          <w:lang w:eastAsia="de-DE"/>
        </w:rPr>
        <w:endnoteReference w:id="1"/>
      </w:r>
      <w:r w:rsidR="007A57CF" w:rsidRPr="002F301E">
        <w:rPr>
          <w:rFonts w:eastAsia="Times New Roman" w:cs="Arial"/>
          <w:sz w:val="24"/>
          <w:szCs w:val="24"/>
          <w:lang w:eastAsia="de-DE"/>
        </w:rPr>
        <w:t>)</w:t>
      </w:r>
      <w:r w:rsidRPr="002F301E">
        <w:rPr>
          <w:rFonts w:eastAsia="Times New Roman" w:cs="Arial"/>
          <w:sz w:val="24"/>
          <w:szCs w:val="24"/>
          <w:lang w:eastAsia="de-DE"/>
        </w:rPr>
        <w:t xml:space="preserve"> folgende Allgemeinverfügung:</w:t>
      </w:r>
    </w:p>
    <w:p w:rsidR="003C7C4D" w:rsidRPr="002F301E" w:rsidRDefault="003C7C4D" w:rsidP="00850B95">
      <w:pPr>
        <w:pStyle w:val="Listenabsatz"/>
        <w:numPr>
          <w:ilvl w:val="0"/>
          <w:numId w:val="3"/>
        </w:numPr>
        <w:spacing w:after="120"/>
        <w:ind w:left="426" w:hanging="426"/>
        <w:rPr>
          <w:rFonts w:cs="Arial"/>
          <w:sz w:val="24"/>
          <w:szCs w:val="24"/>
        </w:rPr>
      </w:pPr>
      <w:r w:rsidRPr="002F301E">
        <w:rPr>
          <w:rFonts w:eastAsia="Times New Roman" w:cs="Arial"/>
          <w:sz w:val="24"/>
          <w:szCs w:val="24"/>
          <w:lang w:eastAsia="de-DE"/>
        </w:rPr>
        <w:t xml:space="preserve">die </w:t>
      </w:r>
      <w:proofErr w:type="spellStart"/>
      <w:r w:rsidRPr="002F301E">
        <w:rPr>
          <w:rFonts w:eastAsia="Times New Roman" w:cs="Arial"/>
          <w:b/>
          <w:sz w:val="24"/>
          <w:szCs w:val="24"/>
          <w:lang w:eastAsia="de-DE"/>
        </w:rPr>
        <w:t>Aufstallung</w:t>
      </w:r>
      <w:proofErr w:type="spellEnd"/>
      <w:r w:rsidRPr="002F301E">
        <w:rPr>
          <w:rFonts w:eastAsia="Times New Roman" w:cs="Arial"/>
          <w:sz w:val="24"/>
          <w:szCs w:val="24"/>
          <w:lang w:eastAsia="de-DE"/>
        </w:rPr>
        <w:t xml:space="preserve"> von </w:t>
      </w:r>
      <w:r w:rsidRPr="002F301E">
        <w:rPr>
          <w:rFonts w:cs="Arial"/>
          <w:sz w:val="24"/>
          <w:szCs w:val="24"/>
        </w:rPr>
        <w:t xml:space="preserve">im Lande Bremen </w:t>
      </w:r>
      <w:r w:rsidRPr="002F301E">
        <w:rPr>
          <w:rFonts w:eastAsia="Times New Roman" w:cs="Arial"/>
          <w:sz w:val="24"/>
          <w:szCs w:val="24"/>
          <w:lang w:eastAsia="de-DE"/>
        </w:rPr>
        <w:t xml:space="preserve">gehaltenen </w:t>
      </w:r>
      <w:r w:rsidRPr="002F301E">
        <w:rPr>
          <w:rFonts w:cs="Arial"/>
          <w:sz w:val="24"/>
          <w:szCs w:val="24"/>
        </w:rPr>
        <w:t>Hühnern, Truthühnern, Perlhühnern, Rebhühnern, Fasanen (auch Pfauen), Laufvögeln, Wachteln, Enten und Gänsen</w:t>
      </w:r>
    </w:p>
    <w:p w:rsidR="003C7C4D" w:rsidRPr="002F301E" w:rsidRDefault="003C7C4D" w:rsidP="00850B95">
      <w:pPr>
        <w:numPr>
          <w:ilvl w:val="0"/>
          <w:numId w:val="6"/>
        </w:numPr>
        <w:spacing w:after="120"/>
        <w:ind w:left="851" w:hanging="425"/>
        <w:contextualSpacing/>
        <w:rPr>
          <w:rFonts w:eastAsia="Times New Roman" w:cs="Arial"/>
          <w:sz w:val="24"/>
          <w:szCs w:val="24"/>
          <w:lang w:eastAsia="de-DE"/>
        </w:rPr>
      </w:pPr>
      <w:r w:rsidRPr="002F301E">
        <w:rPr>
          <w:rFonts w:eastAsia="Times New Roman" w:cs="Arial"/>
          <w:sz w:val="24"/>
          <w:szCs w:val="24"/>
          <w:lang w:eastAsia="de-DE"/>
        </w:rPr>
        <w:t>in geschlossenen Ställen oder</w:t>
      </w:r>
    </w:p>
    <w:p w:rsidR="003C7C4D" w:rsidRPr="002F301E" w:rsidRDefault="003C7C4D" w:rsidP="00850B95">
      <w:pPr>
        <w:numPr>
          <w:ilvl w:val="0"/>
          <w:numId w:val="6"/>
        </w:numPr>
        <w:spacing w:after="120"/>
        <w:ind w:left="851" w:hanging="425"/>
        <w:contextualSpacing/>
        <w:rPr>
          <w:rFonts w:eastAsia="Times New Roman" w:cs="Arial"/>
          <w:sz w:val="24"/>
          <w:szCs w:val="24"/>
          <w:lang w:eastAsia="de-DE"/>
        </w:rPr>
      </w:pPr>
      <w:r w:rsidRPr="002F301E">
        <w:rPr>
          <w:rFonts w:eastAsia="Times New Roman" w:cs="Arial"/>
          <w:sz w:val="24"/>
          <w:szCs w:val="24"/>
          <w:lang w:eastAsia="de-DE"/>
        </w:rPr>
        <w:t>unter einer Vorrichtung, die aus einer überstehenden, nach oben gegen Einträge gesicherten dichten Abdeckung und mit einer gegen das Eindringen von Wildvögeln gesicherten Seitenbegrenzung bestehen muss</w:t>
      </w:r>
      <w:r w:rsidR="00CA238B" w:rsidRPr="002F301E">
        <w:rPr>
          <w:rFonts w:eastAsia="Times New Roman" w:cs="Arial"/>
          <w:sz w:val="24"/>
          <w:szCs w:val="24"/>
          <w:lang w:eastAsia="de-DE"/>
        </w:rPr>
        <w:t xml:space="preserve"> </w:t>
      </w:r>
      <w:r w:rsidRPr="002F301E">
        <w:rPr>
          <w:rFonts w:eastAsia="Times New Roman" w:cs="Arial"/>
          <w:sz w:val="24"/>
          <w:szCs w:val="24"/>
          <w:lang w:eastAsia="de-DE"/>
        </w:rPr>
        <w:t>(Schutzvorrichtung)</w:t>
      </w:r>
    </w:p>
    <w:p w:rsidR="003C7C4D" w:rsidRPr="002F301E" w:rsidRDefault="003C7C4D" w:rsidP="00850B95">
      <w:pPr>
        <w:spacing w:after="120"/>
        <w:ind w:left="426"/>
        <w:rPr>
          <w:rFonts w:eastAsia="Times New Roman" w:cs="Arial"/>
          <w:sz w:val="24"/>
          <w:szCs w:val="24"/>
          <w:lang w:eastAsia="de-DE"/>
        </w:rPr>
      </w:pPr>
      <w:r w:rsidRPr="002F301E">
        <w:rPr>
          <w:rFonts w:eastAsia="Times New Roman" w:cs="Arial"/>
          <w:sz w:val="24"/>
          <w:szCs w:val="24"/>
          <w:lang w:eastAsia="de-DE"/>
        </w:rPr>
        <w:t>wird angeordnet.</w:t>
      </w:r>
    </w:p>
    <w:p w:rsidR="003C7C4D" w:rsidRPr="002F301E" w:rsidRDefault="003C7C4D" w:rsidP="00850B95">
      <w:pPr>
        <w:pStyle w:val="Listenabsatz"/>
        <w:numPr>
          <w:ilvl w:val="0"/>
          <w:numId w:val="3"/>
        </w:numPr>
        <w:spacing w:after="120"/>
        <w:ind w:left="426" w:hanging="426"/>
        <w:rPr>
          <w:rFonts w:eastAsia="Times New Roman" w:cs="Arial"/>
          <w:sz w:val="24"/>
          <w:szCs w:val="24"/>
          <w:lang w:eastAsia="de-DE"/>
        </w:rPr>
      </w:pPr>
      <w:r w:rsidRPr="002F301E">
        <w:rPr>
          <w:rFonts w:eastAsia="Times New Roman" w:cs="Arial"/>
          <w:sz w:val="24"/>
          <w:szCs w:val="24"/>
          <w:lang w:eastAsia="de-DE"/>
        </w:rPr>
        <w:t xml:space="preserve">die sofortige Vollziehung wird angeordnet. </w:t>
      </w:r>
    </w:p>
    <w:p w:rsidR="00561294" w:rsidRPr="002F301E" w:rsidRDefault="00293C7F" w:rsidP="00850B95">
      <w:pPr>
        <w:spacing w:after="120"/>
        <w:rPr>
          <w:rFonts w:cs="Arial"/>
          <w:sz w:val="24"/>
          <w:szCs w:val="24"/>
        </w:rPr>
      </w:pPr>
      <w:r w:rsidRPr="002F301E">
        <w:rPr>
          <w:rFonts w:cs="Arial"/>
          <w:sz w:val="24"/>
          <w:szCs w:val="24"/>
        </w:rPr>
        <w:t xml:space="preserve">Diese Allgemeinverfügung tritt am </w:t>
      </w:r>
      <w:r w:rsidR="007E0845" w:rsidRPr="002F301E">
        <w:rPr>
          <w:rFonts w:cs="Arial"/>
          <w:b/>
          <w:sz w:val="24"/>
          <w:szCs w:val="24"/>
        </w:rPr>
        <w:t>13.11.2016</w:t>
      </w:r>
      <w:r w:rsidR="007E0845" w:rsidRPr="002F301E">
        <w:rPr>
          <w:rFonts w:cs="Arial"/>
          <w:sz w:val="24"/>
          <w:szCs w:val="24"/>
        </w:rPr>
        <w:t xml:space="preserve"> </w:t>
      </w:r>
      <w:r w:rsidRPr="002F301E">
        <w:rPr>
          <w:rFonts w:cs="Arial"/>
          <w:sz w:val="24"/>
          <w:szCs w:val="24"/>
        </w:rPr>
        <w:t>in Kraft.</w:t>
      </w:r>
    </w:p>
    <w:p w:rsidR="00561294" w:rsidRPr="002F301E" w:rsidRDefault="00561294" w:rsidP="00850B95">
      <w:pPr>
        <w:spacing w:after="120"/>
        <w:rPr>
          <w:rFonts w:cs="Arial"/>
          <w:sz w:val="24"/>
          <w:szCs w:val="24"/>
          <w:u w:val="single"/>
        </w:rPr>
      </w:pPr>
      <w:r w:rsidRPr="002F301E">
        <w:rPr>
          <w:rFonts w:cs="Arial"/>
          <w:sz w:val="24"/>
          <w:szCs w:val="24"/>
          <w:u w:val="single"/>
        </w:rPr>
        <w:t>Gründe</w:t>
      </w:r>
      <w:r w:rsidR="002A63A2" w:rsidRPr="002F301E">
        <w:rPr>
          <w:rFonts w:cs="Arial"/>
          <w:sz w:val="24"/>
          <w:szCs w:val="24"/>
          <w:u w:val="single"/>
        </w:rPr>
        <w:t>:</w:t>
      </w:r>
    </w:p>
    <w:p w:rsidR="003C7C4D" w:rsidRPr="002F301E" w:rsidRDefault="00A7652B" w:rsidP="00850B95">
      <w:pPr>
        <w:spacing w:after="120"/>
        <w:rPr>
          <w:rFonts w:cs="Arial"/>
          <w:sz w:val="24"/>
          <w:szCs w:val="24"/>
        </w:rPr>
      </w:pPr>
      <w:r w:rsidRPr="002F301E">
        <w:rPr>
          <w:rFonts w:cs="Arial"/>
          <w:sz w:val="24"/>
          <w:szCs w:val="24"/>
        </w:rPr>
        <w:t>Zu 1.</w:t>
      </w:r>
    </w:p>
    <w:p w:rsidR="00561294" w:rsidRPr="002F301E" w:rsidRDefault="007111C3" w:rsidP="00850B95">
      <w:pPr>
        <w:spacing w:after="120"/>
        <w:rPr>
          <w:rFonts w:cs="Arial"/>
          <w:sz w:val="24"/>
          <w:szCs w:val="24"/>
        </w:rPr>
      </w:pPr>
      <w:r w:rsidRPr="002F301E">
        <w:rPr>
          <w:rFonts w:cs="Arial"/>
          <w:sz w:val="24"/>
          <w:szCs w:val="24"/>
        </w:rPr>
        <w:t xml:space="preserve">Die </w:t>
      </w:r>
      <w:r w:rsidR="003C7C4D" w:rsidRPr="002F301E">
        <w:rPr>
          <w:rFonts w:cs="Arial"/>
          <w:sz w:val="24"/>
          <w:szCs w:val="24"/>
        </w:rPr>
        <w:t>Geflügelpest ist eine hochansteckende und - abhängig von der Art des Geflügels - mit schwerwiegenden Krankheitssymp</w:t>
      </w:r>
      <w:r w:rsidR="008D2F24" w:rsidRPr="002F301E">
        <w:rPr>
          <w:rFonts w:cs="Arial"/>
          <w:sz w:val="24"/>
          <w:szCs w:val="24"/>
        </w:rPr>
        <w:t>t</w:t>
      </w:r>
      <w:r w:rsidR="003C7C4D" w:rsidRPr="002F301E">
        <w:rPr>
          <w:rFonts w:cs="Arial"/>
          <w:sz w:val="24"/>
          <w:szCs w:val="24"/>
        </w:rPr>
        <w:t xml:space="preserve">omen und Verenden einhergehende Tierseuche, die durch bestimmte besonders aggressive Influenzaviren hervorgerufen wird. </w:t>
      </w:r>
    </w:p>
    <w:p w:rsidR="00D66F97" w:rsidRPr="002F301E" w:rsidRDefault="00D66F97" w:rsidP="00850B95">
      <w:pPr>
        <w:spacing w:after="120"/>
        <w:rPr>
          <w:rFonts w:cs="Arial"/>
          <w:sz w:val="24"/>
          <w:szCs w:val="24"/>
        </w:rPr>
      </w:pPr>
      <w:r w:rsidRPr="002F301E">
        <w:rPr>
          <w:rFonts w:cs="Arial"/>
          <w:sz w:val="24"/>
          <w:szCs w:val="24"/>
        </w:rPr>
        <w:t xml:space="preserve">Am 08.11.2016 wurden mehrere Infektionen von Wildvögeln mit hochpathogener </w:t>
      </w:r>
      <w:proofErr w:type="spellStart"/>
      <w:r w:rsidRPr="002F301E">
        <w:rPr>
          <w:rFonts w:cs="Arial"/>
          <w:sz w:val="24"/>
          <w:szCs w:val="24"/>
        </w:rPr>
        <w:t>Aviärer</w:t>
      </w:r>
      <w:proofErr w:type="spellEnd"/>
      <w:r w:rsidRPr="002F301E">
        <w:rPr>
          <w:rFonts w:cs="Arial"/>
          <w:sz w:val="24"/>
          <w:szCs w:val="24"/>
        </w:rPr>
        <w:t xml:space="preserve"> Influenza vom Subtyp H5N8 im Kreis </w:t>
      </w:r>
      <w:proofErr w:type="spellStart"/>
      <w:r w:rsidRPr="002F301E">
        <w:rPr>
          <w:rFonts w:cs="Arial"/>
          <w:sz w:val="24"/>
          <w:szCs w:val="24"/>
        </w:rPr>
        <w:t>Plön</w:t>
      </w:r>
      <w:proofErr w:type="spellEnd"/>
      <w:r w:rsidRPr="002F301E">
        <w:rPr>
          <w:rFonts w:cs="Arial"/>
          <w:sz w:val="24"/>
          <w:szCs w:val="24"/>
        </w:rPr>
        <w:t xml:space="preserve"> in Schleswig-Holstein festgestellt. Weiterhin erfolgten am 09.11.2016 mehrere Infektionen von </w:t>
      </w:r>
      <w:proofErr w:type="spellStart"/>
      <w:r w:rsidRPr="002F301E">
        <w:rPr>
          <w:rFonts w:cs="Arial"/>
          <w:sz w:val="24"/>
          <w:szCs w:val="24"/>
        </w:rPr>
        <w:t>WildvögeIn</w:t>
      </w:r>
      <w:proofErr w:type="spellEnd"/>
      <w:r w:rsidRPr="002F301E">
        <w:rPr>
          <w:rFonts w:cs="Arial"/>
          <w:sz w:val="24"/>
          <w:szCs w:val="24"/>
        </w:rPr>
        <w:t xml:space="preserve"> in Konstanz a</w:t>
      </w:r>
      <w:r w:rsidR="00D51BF9" w:rsidRPr="002F301E">
        <w:rPr>
          <w:rFonts w:cs="Arial"/>
          <w:sz w:val="24"/>
          <w:szCs w:val="24"/>
        </w:rPr>
        <w:t>m Bodensee in Baden-Württemberg. Am 10.11.2016 bestätigten sich Infektionen im Kreis Vorpommern-Greifswald.</w:t>
      </w:r>
      <w:r w:rsidRPr="002F301E">
        <w:rPr>
          <w:rFonts w:cs="Arial"/>
          <w:sz w:val="24"/>
          <w:szCs w:val="24"/>
        </w:rPr>
        <w:t xml:space="preserve"> In den vorherigen Tagen wurden diese Viren bereits bei Hausgeflügel und Wasservögeln in Ungarn und in Polen, nahe der Grenze zu Mecklenburg-Vorpommern, nachgewiesen. Eine Verbreitung des Influenzavirus des Subtyps H5N8 durch Wildvögel ist daher wahrscheinlich.</w:t>
      </w:r>
    </w:p>
    <w:p w:rsidR="00A7652B" w:rsidRPr="002F301E" w:rsidRDefault="00A7652B" w:rsidP="00850B95">
      <w:pPr>
        <w:spacing w:after="120"/>
        <w:rPr>
          <w:rFonts w:eastAsia="Times New Roman" w:cs="Arial"/>
          <w:sz w:val="24"/>
          <w:szCs w:val="24"/>
          <w:lang w:eastAsia="de-DE"/>
        </w:rPr>
      </w:pPr>
      <w:r w:rsidRPr="002F301E">
        <w:rPr>
          <w:rFonts w:cs="Arial"/>
          <w:sz w:val="24"/>
          <w:szCs w:val="24"/>
        </w:rPr>
        <w:t xml:space="preserve">Der </w:t>
      </w:r>
      <w:r w:rsidRPr="002F301E">
        <w:rPr>
          <w:rFonts w:eastAsia="Times New Roman" w:cs="Arial"/>
          <w:sz w:val="24"/>
          <w:szCs w:val="24"/>
          <w:lang w:eastAsia="de-DE"/>
        </w:rPr>
        <w:t>Lebensmittelüberwachungs-, Tierschutz- und Veterinärdienst des Landes Bremen (LMTVet) ist für den Erlass dieser Anordnung sachlich und örtlich zuständig (§ 8 Nr. 2 Brem. Tierseuchenrechts-Zuständigkeitsverordn</w:t>
      </w:r>
      <w:r w:rsidR="008713F2" w:rsidRPr="002F301E">
        <w:rPr>
          <w:rFonts w:eastAsia="Times New Roman" w:cs="Arial"/>
          <w:sz w:val="24"/>
          <w:szCs w:val="24"/>
          <w:lang w:eastAsia="de-DE"/>
        </w:rPr>
        <w:t>ung</w:t>
      </w:r>
      <w:r w:rsidR="008713F2" w:rsidRPr="002F301E">
        <w:rPr>
          <w:rStyle w:val="Endnotenzeichen"/>
          <w:rFonts w:eastAsia="Times New Roman" w:cs="Arial"/>
          <w:sz w:val="24"/>
          <w:szCs w:val="24"/>
          <w:lang w:eastAsia="de-DE"/>
        </w:rPr>
        <w:endnoteReference w:id="2"/>
      </w:r>
      <w:r w:rsidR="008713F2" w:rsidRPr="002F301E">
        <w:rPr>
          <w:rFonts w:eastAsia="Times New Roman" w:cs="Arial"/>
          <w:sz w:val="24"/>
          <w:szCs w:val="24"/>
          <w:lang w:eastAsia="de-DE"/>
        </w:rPr>
        <w:t xml:space="preserve">; § 3 Abs. 1 Nr. 3 </w:t>
      </w:r>
      <w:r w:rsidRPr="002F301E">
        <w:rPr>
          <w:rFonts w:eastAsia="Times New Roman" w:cs="Arial"/>
          <w:sz w:val="24"/>
          <w:szCs w:val="24"/>
          <w:lang w:eastAsia="de-DE"/>
        </w:rPr>
        <w:t>BremVwVfG</w:t>
      </w:r>
      <w:r w:rsidRPr="002F301E">
        <w:rPr>
          <w:rFonts w:eastAsia="Times New Roman" w:cs="Arial"/>
          <w:sz w:val="24"/>
          <w:szCs w:val="24"/>
          <w:vertAlign w:val="superscript"/>
          <w:lang w:eastAsia="de-DE"/>
        </w:rPr>
        <w:endnoteReference w:id="3"/>
      </w:r>
      <w:r w:rsidRPr="002F301E">
        <w:rPr>
          <w:rFonts w:eastAsia="Times New Roman" w:cs="Arial"/>
          <w:sz w:val="24"/>
          <w:szCs w:val="24"/>
          <w:lang w:eastAsia="de-DE"/>
        </w:rPr>
        <w:t>).</w:t>
      </w:r>
    </w:p>
    <w:p w:rsidR="00A7652B" w:rsidRPr="002F301E" w:rsidRDefault="00A7652B" w:rsidP="00850B95">
      <w:pPr>
        <w:spacing w:after="120"/>
        <w:rPr>
          <w:rFonts w:cs="Arial"/>
          <w:sz w:val="24"/>
          <w:szCs w:val="24"/>
        </w:rPr>
      </w:pPr>
      <w:r w:rsidRPr="002F301E">
        <w:rPr>
          <w:rFonts w:eastAsia="Times New Roman" w:cs="Arial"/>
          <w:sz w:val="24"/>
          <w:szCs w:val="24"/>
          <w:lang w:eastAsia="de-DE"/>
        </w:rPr>
        <w:t>Die Anordnung zu Nr. 1 beruht auf § 13 Ab</w:t>
      </w:r>
      <w:r w:rsidR="008713F2" w:rsidRPr="002F301E">
        <w:rPr>
          <w:rFonts w:eastAsia="Times New Roman" w:cs="Arial"/>
          <w:sz w:val="24"/>
          <w:szCs w:val="24"/>
          <w:lang w:eastAsia="de-DE"/>
        </w:rPr>
        <w:t>s. 1 der Geflügelpest-Verordnung</w:t>
      </w:r>
      <w:r w:rsidRPr="002F301E">
        <w:rPr>
          <w:rFonts w:eastAsia="Times New Roman" w:cs="Arial"/>
          <w:sz w:val="24"/>
          <w:szCs w:val="24"/>
          <w:lang w:eastAsia="de-DE"/>
        </w:rPr>
        <w:t>.</w:t>
      </w:r>
      <w:r w:rsidR="00FD6C4C" w:rsidRPr="002F301E">
        <w:rPr>
          <w:rFonts w:eastAsia="Times New Roman" w:cs="Arial"/>
          <w:sz w:val="24"/>
          <w:szCs w:val="24"/>
          <w:lang w:eastAsia="de-DE"/>
        </w:rPr>
        <w:t xml:space="preserve"> </w:t>
      </w:r>
      <w:r w:rsidR="001B16F4" w:rsidRPr="002F301E">
        <w:rPr>
          <w:rFonts w:eastAsia="Times New Roman" w:cs="Arial"/>
          <w:sz w:val="24"/>
          <w:szCs w:val="24"/>
          <w:lang w:eastAsia="de-DE"/>
        </w:rPr>
        <w:t>Die</w:t>
      </w:r>
      <w:r w:rsidRPr="002F301E">
        <w:rPr>
          <w:rFonts w:eastAsia="Times New Roman" w:cs="Arial"/>
          <w:sz w:val="24"/>
          <w:szCs w:val="24"/>
          <w:lang w:eastAsia="de-DE"/>
        </w:rPr>
        <w:t xml:space="preserve"> diese</w:t>
      </w:r>
      <w:r w:rsidR="001B16F4" w:rsidRPr="002F301E">
        <w:rPr>
          <w:rFonts w:eastAsia="Times New Roman" w:cs="Arial"/>
          <w:sz w:val="24"/>
          <w:szCs w:val="24"/>
          <w:lang w:eastAsia="de-DE"/>
        </w:rPr>
        <w:t>r Anordnung zu Grunde liegende</w:t>
      </w:r>
      <w:r w:rsidRPr="002F301E">
        <w:rPr>
          <w:rFonts w:eastAsia="Times New Roman" w:cs="Arial"/>
          <w:sz w:val="24"/>
          <w:szCs w:val="24"/>
          <w:lang w:eastAsia="de-DE"/>
        </w:rPr>
        <w:t xml:space="preserve"> Risikobewertung</w:t>
      </w:r>
      <w:r w:rsidRPr="002F301E">
        <w:rPr>
          <w:rFonts w:cs="Arial"/>
          <w:sz w:val="24"/>
          <w:szCs w:val="24"/>
        </w:rPr>
        <w:t xml:space="preserve"> gemäß § 13 Abs. 2 der Geflügelpest-Verordnung hat ergeben, dass der Schutz hiesiger Geflügelbestände vor der </w:t>
      </w:r>
      <w:r w:rsidR="001B16F4" w:rsidRPr="002F301E">
        <w:rPr>
          <w:rFonts w:cs="Arial"/>
          <w:sz w:val="24"/>
          <w:szCs w:val="24"/>
        </w:rPr>
        <w:t xml:space="preserve">Einschleppung und Verschleppung von </w:t>
      </w:r>
      <w:r w:rsidRPr="002F301E">
        <w:rPr>
          <w:rFonts w:cs="Arial"/>
          <w:sz w:val="24"/>
          <w:szCs w:val="24"/>
        </w:rPr>
        <w:t xml:space="preserve">Geflügelpest verstärkt werden muss, </w:t>
      </w:r>
      <w:r w:rsidR="00FD6C4C" w:rsidRPr="002F301E">
        <w:rPr>
          <w:rFonts w:cs="Arial"/>
          <w:sz w:val="24"/>
          <w:szCs w:val="24"/>
        </w:rPr>
        <w:t xml:space="preserve">indem </w:t>
      </w:r>
      <w:r w:rsidRPr="002F301E">
        <w:rPr>
          <w:rFonts w:cs="Arial"/>
          <w:sz w:val="24"/>
          <w:szCs w:val="24"/>
        </w:rPr>
        <w:t>der Kontakt von wildlebenden zu gehaltenen Vögeln unterbunden wird.</w:t>
      </w:r>
      <w:r w:rsidR="00DA7145" w:rsidRPr="002F301E">
        <w:rPr>
          <w:rFonts w:cs="Arial"/>
          <w:sz w:val="24"/>
          <w:szCs w:val="24"/>
        </w:rPr>
        <w:t xml:space="preserve"> Die Risikobewertung berücksichtigt auch die Be</w:t>
      </w:r>
      <w:r w:rsidR="00D66F97" w:rsidRPr="002F301E">
        <w:rPr>
          <w:rFonts w:cs="Arial"/>
          <w:sz w:val="24"/>
          <w:szCs w:val="24"/>
        </w:rPr>
        <w:t>urteilung</w:t>
      </w:r>
      <w:r w:rsidR="00DA7145" w:rsidRPr="002F301E">
        <w:rPr>
          <w:rFonts w:cs="Arial"/>
          <w:sz w:val="24"/>
          <w:szCs w:val="24"/>
        </w:rPr>
        <w:t xml:space="preserve"> des Friedrich-Löffler-Instituts, Bundesforschungsinstitut für Tiergesundheit</w:t>
      </w:r>
      <w:r w:rsidR="00FC40B0" w:rsidRPr="002F301E">
        <w:rPr>
          <w:rFonts w:cs="Arial"/>
          <w:sz w:val="24"/>
          <w:szCs w:val="24"/>
        </w:rPr>
        <w:t>,</w:t>
      </w:r>
      <w:r w:rsidR="00DA7145" w:rsidRPr="002F301E">
        <w:rPr>
          <w:rFonts w:cs="Arial"/>
          <w:sz w:val="24"/>
          <w:szCs w:val="24"/>
        </w:rPr>
        <w:t xml:space="preserve"> vom </w:t>
      </w:r>
      <w:r w:rsidR="00773623" w:rsidRPr="002F301E">
        <w:rPr>
          <w:rFonts w:cs="Arial"/>
          <w:sz w:val="24"/>
          <w:szCs w:val="24"/>
        </w:rPr>
        <w:t>09</w:t>
      </w:r>
      <w:r w:rsidR="00DA7145" w:rsidRPr="002F301E">
        <w:rPr>
          <w:rFonts w:cs="Arial"/>
          <w:sz w:val="24"/>
          <w:szCs w:val="24"/>
        </w:rPr>
        <w:t>.</w:t>
      </w:r>
      <w:r w:rsidR="00773623" w:rsidRPr="002F301E">
        <w:rPr>
          <w:rFonts w:cs="Arial"/>
          <w:sz w:val="24"/>
          <w:szCs w:val="24"/>
        </w:rPr>
        <w:t>11</w:t>
      </w:r>
      <w:r w:rsidR="00DA7145" w:rsidRPr="002F301E">
        <w:rPr>
          <w:rFonts w:cs="Arial"/>
          <w:sz w:val="24"/>
          <w:szCs w:val="24"/>
        </w:rPr>
        <w:t>.</w:t>
      </w:r>
      <w:r w:rsidR="008B587A" w:rsidRPr="002F301E">
        <w:rPr>
          <w:rFonts w:cs="Arial"/>
          <w:sz w:val="24"/>
          <w:szCs w:val="24"/>
        </w:rPr>
        <w:t>2016</w:t>
      </w:r>
      <w:r w:rsidR="00DA7145" w:rsidRPr="002F301E">
        <w:rPr>
          <w:rFonts w:cs="Arial"/>
          <w:sz w:val="24"/>
          <w:szCs w:val="24"/>
        </w:rPr>
        <w:t>.</w:t>
      </w:r>
      <w:r w:rsidR="00BD5AA4" w:rsidRPr="002F301E">
        <w:rPr>
          <w:rFonts w:cs="Arial"/>
          <w:sz w:val="24"/>
          <w:szCs w:val="24"/>
        </w:rPr>
        <w:t xml:space="preserve"> Weiterhin wird berücksichtig</w:t>
      </w:r>
      <w:r w:rsidR="00860F63" w:rsidRPr="002F301E">
        <w:rPr>
          <w:rFonts w:cs="Arial"/>
          <w:sz w:val="24"/>
          <w:szCs w:val="24"/>
        </w:rPr>
        <w:t>t</w:t>
      </w:r>
      <w:r w:rsidR="00BD5AA4" w:rsidRPr="002F301E">
        <w:rPr>
          <w:rFonts w:cs="Arial"/>
          <w:sz w:val="24"/>
          <w:szCs w:val="24"/>
        </w:rPr>
        <w:t>, dass das Land Bremen über mehrere im Vogelzug wichtige Gebiete, in denen sich Rastvögel aufhalten und durchziehen, verfügt.</w:t>
      </w:r>
    </w:p>
    <w:p w:rsidR="00711E16" w:rsidRPr="002F301E" w:rsidRDefault="00711E16" w:rsidP="00850B95">
      <w:pPr>
        <w:spacing w:after="120"/>
        <w:rPr>
          <w:rFonts w:cs="Arial"/>
          <w:sz w:val="24"/>
          <w:szCs w:val="24"/>
        </w:rPr>
      </w:pPr>
      <w:r w:rsidRPr="002F301E">
        <w:rPr>
          <w:rFonts w:cs="Arial"/>
          <w:sz w:val="24"/>
          <w:szCs w:val="24"/>
        </w:rPr>
        <w:t xml:space="preserve">Die mit dieser Allgemeinverfügung getroffene Anordnung ist erforderlich und angemessen, um </w:t>
      </w:r>
      <w:r w:rsidR="00693DC7" w:rsidRPr="002F301E">
        <w:rPr>
          <w:rFonts w:cs="Arial"/>
          <w:sz w:val="24"/>
          <w:szCs w:val="24"/>
        </w:rPr>
        <w:t>einer Ausbreitung der Geflügelpest</w:t>
      </w:r>
      <w:r w:rsidRPr="002F301E">
        <w:rPr>
          <w:rFonts w:cs="Arial"/>
          <w:sz w:val="24"/>
          <w:szCs w:val="24"/>
        </w:rPr>
        <w:t xml:space="preserve"> zu einem frühestmöglichen Zeitpunkt begegnen zu können.</w:t>
      </w:r>
    </w:p>
    <w:p w:rsidR="001B16F4" w:rsidRPr="002F301E" w:rsidRDefault="001B16F4" w:rsidP="00850B95">
      <w:pPr>
        <w:pStyle w:val="Fuzeile"/>
        <w:tabs>
          <w:tab w:val="clear" w:pos="4819"/>
          <w:tab w:val="clear" w:pos="9071"/>
        </w:tabs>
        <w:spacing w:after="120"/>
        <w:outlineLvl w:val="0"/>
        <w:rPr>
          <w:rFonts w:ascii="Arial" w:hAnsi="Arial" w:cs="Arial"/>
          <w:sz w:val="24"/>
          <w:szCs w:val="24"/>
        </w:rPr>
      </w:pPr>
      <w:r w:rsidRPr="002F301E">
        <w:rPr>
          <w:rFonts w:ascii="Arial" w:hAnsi="Arial" w:cs="Arial"/>
          <w:sz w:val="24"/>
          <w:szCs w:val="24"/>
        </w:rPr>
        <w:lastRenderedPageBreak/>
        <w:t xml:space="preserve">Zu 2. </w:t>
      </w:r>
    </w:p>
    <w:p w:rsidR="001B16F4" w:rsidRPr="002F301E" w:rsidRDefault="001B16F4" w:rsidP="00850B95">
      <w:pPr>
        <w:pStyle w:val="Fuzeile"/>
        <w:tabs>
          <w:tab w:val="clear" w:pos="4819"/>
          <w:tab w:val="clear" w:pos="9071"/>
        </w:tabs>
        <w:spacing w:after="120"/>
        <w:rPr>
          <w:rFonts w:ascii="Arial" w:hAnsi="Arial" w:cs="Arial"/>
          <w:sz w:val="24"/>
          <w:szCs w:val="24"/>
        </w:rPr>
      </w:pPr>
      <w:r w:rsidRPr="002F301E">
        <w:rPr>
          <w:rFonts w:ascii="Arial" w:hAnsi="Arial" w:cs="Arial"/>
          <w:sz w:val="24"/>
          <w:szCs w:val="24"/>
        </w:rPr>
        <w:t xml:space="preserve">Die sofortige Vollziehung wird auf Grundlage des § 80 Abs. 2 Nr. </w:t>
      </w:r>
      <w:r w:rsidR="008B587A" w:rsidRPr="002F301E">
        <w:rPr>
          <w:rFonts w:ascii="Arial" w:hAnsi="Arial" w:cs="Arial"/>
          <w:sz w:val="24"/>
          <w:szCs w:val="24"/>
        </w:rPr>
        <w:t>4 der Verwaltungsgerichtsordnung</w:t>
      </w:r>
      <w:r w:rsidR="008B587A" w:rsidRPr="002F301E">
        <w:rPr>
          <w:rStyle w:val="Endnotenzeichen"/>
          <w:rFonts w:ascii="Arial" w:hAnsi="Arial" w:cs="Arial"/>
          <w:sz w:val="24"/>
          <w:szCs w:val="24"/>
        </w:rPr>
        <w:endnoteReference w:id="4"/>
      </w:r>
      <w:r w:rsidR="008B587A" w:rsidRPr="002F301E">
        <w:rPr>
          <w:rFonts w:ascii="Arial" w:hAnsi="Arial" w:cs="Arial"/>
          <w:sz w:val="24"/>
          <w:szCs w:val="24"/>
        </w:rPr>
        <w:t xml:space="preserve"> </w:t>
      </w:r>
      <w:r w:rsidR="007E653C" w:rsidRPr="002F301E">
        <w:rPr>
          <w:rFonts w:ascii="Arial" w:hAnsi="Arial" w:cs="Arial"/>
          <w:sz w:val="24"/>
          <w:szCs w:val="24"/>
        </w:rPr>
        <w:t xml:space="preserve">angeordnet und </w:t>
      </w:r>
      <w:r w:rsidRPr="002F301E">
        <w:rPr>
          <w:rFonts w:ascii="Arial" w:hAnsi="Arial" w:cs="Arial"/>
          <w:sz w:val="24"/>
          <w:szCs w:val="24"/>
        </w:rPr>
        <w:t xml:space="preserve">ist erforderlich, weil eine sofortige </w:t>
      </w:r>
      <w:r w:rsidR="007E653C" w:rsidRPr="002F301E">
        <w:rPr>
          <w:rFonts w:ascii="Arial" w:hAnsi="Arial" w:cs="Arial"/>
          <w:sz w:val="24"/>
          <w:szCs w:val="24"/>
        </w:rPr>
        <w:t xml:space="preserve">Durchsetzbarkeit der Anordnung </w:t>
      </w:r>
      <w:r w:rsidRPr="002F301E">
        <w:rPr>
          <w:rFonts w:ascii="Arial" w:hAnsi="Arial" w:cs="Arial"/>
          <w:sz w:val="24"/>
          <w:szCs w:val="24"/>
        </w:rPr>
        <w:t xml:space="preserve">im besonderen öffentlichen Interesse notwendig ist. Der Ausgang eines etwaigen Rechtsstreites kann nicht abgewartet werden, weil die Tiere ohne entsprechende Schutzmaßnahmen fortgesetzt einer möglichen </w:t>
      </w:r>
      <w:r w:rsidR="00693DC7" w:rsidRPr="002F301E">
        <w:rPr>
          <w:rFonts w:ascii="Arial" w:hAnsi="Arial" w:cs="Arial"/>
          <w:sz w:val="24"/>
          <w:szCs w:val="24"/>
        </w:rPr>
        <w:t>Ansteckung</w:t>
      </w:r>
      <w:r w:rsidRPr="002F301E">
        <w:rPr>
          <w:rFonts w:ascii="Arial" w:hAnsi="Arial" w:cs="Arial"/>
          <w:sz w:val="24"/>
          <w:szCs w:val="24"/>
        </w:rPr>
        <w:t xml:space="preserve"> d</w:t>
      </w:r>
      <w:r w:rsidR="00693DC7" w:rsidRPr="002F301E">
        <w:rPr>
          <w:rFonts w:ascii="Arial" w:hAnsi="Arial" w:cs="Arial"/>
          <w:sz w:val="24"/>
          <w:szCs w:val="24"/>
        </w:rPr>
        <w:t xml:space="preserve">urch Wildvögel </w:t>
      </w:r>
      <w:r w:rsidRPr="002F301E">
        <w:rPr>
          <w:rFonts w:ascii="Arial" w:hAnsi="Arial" w:cs="Arial"/>
          <w:sz w:val="24"/>
          <w:szCs w:val="24"/>
        </w:rPr>
        <w:t xml:space="preserve">ausgesetzt wären. Für die </w:t>
      </w:r>
      <w:r w:rsidR="00693DC7" w:rsidRPr="002F301E">
        <w:rPr>
          <w:rFonts w:ascii="Arial" w:hAnsi="Arial" w:cs="Arial"/>
          <w:sz w:val="24"/>
          <w:szCs w:val="24"/>
        </w:rPr>
        <w:t>im Land</w:t>
      </w:r>
      <w:r w:rsidRPr="002F301E">
        <w:rPr>
          <w:rFonts w:ascii="Arial" w:hAnsi="Arial" w:cs="Arial"/>
          <w:sz w:val="24"/>
          <w:szCs w:val="24"/>
        </w:rPr>
        <w:t xml:space="preserve"> Bremen gehaltenen Vögel kann ohne sofortige Schutzmaßnahmen nicht sichergestellt werden, dass einer Übertragung von Tierseuchenerregern wirksam entgegengewirkt wird.</w:t>
      </w:r>
    </w:p>
    <w:p w:rsidR="001B16F4" w:rsidRPr="002F301E" w:rsidRDefault="001B16F4" w:rsidP="00850B95">
      <w:pPr>
        <w:pStyle w:val="Fuzeile"/>
        <w:tabs>
          <w:tab w:val="clear" w:pos="4819"/>
          <w:tab w:val="clear" w:pos="9071"/>
        </w:tabs>
        <w:spacing w:after="120"/>
        <w:rPr>
          <w:rFonts w:ascii="Arial" w:hAnsi="Arial" w:cs="Arial"/>
          <w:sz w:val="24"/>
          <w:szCs w:val="24"/>
        </w:rPr>
      </w:pPr>
      <w:r w:rsidRPr="002F301E">
        <w:rPr>
          <w:rFonts w:ascii="Arial" w:hAnsi="Arial" w:cs="Arial"/>
          <w:sz w:val="24"/>
          <w:szCs w:val="24"/>
        </w:rPr>
        <w:t xml:space="preserve">Hinzu kommt, dass bei einer Ausbreitung der </w:t>
      </w:r>
      <w:r w:rsidR="001C259A" w:rsidRPr="002F301E">
        <w:rPr>
          <w:rFonts w:ascii="Arial" w:hAnsi="Arial" w:cs="Arial"/>
          <w:sz w:val="24"/>
          <w:szCs w:val="24"/>
        </w:rPr>
        <w:t>Geflügelpest</w:t>
      </w:r>
      <w:r w:rsidRPr="002F301E">
        <w:rPr>
          <w:rFonts w:ascii="Arial" w:hAnsi="Arial" w:cs="Arial"/>
          <w:sz w:val="24"/>
          <w:szCs w:val="24"/>
        </w:rPr>
        <w:t xml:space="preserve"> nicht unerhebliche Kosten ausgelöst werden. Geflügelpest ist eine hochansteckende und - abhängig von der Art des Geflügels - mit schwerwiegenden Krankheitssymptomen und Verenden einhergehende Tierseuche, die durch bestimmte besonders aggressive Influenzaviren hervorgerufen wird. Jeder Ausbruch der Geflügelpest geht mit Tötungsmaßnahmen einher. Dies würde nicht nur bei einzelnen Tierhaltern zu hohen, wirtschaftlichen Verlusten führen. Somit ist das besondere öffentliche Interesse an der sofortigen Durchsetzung der erforderlichen Schutzmaßnahmen gegeben.</w:t>
      </w:r>
    </w:p>
    <w:p w:rsidR="001C259A" w:rsidRPr="002F301E" w:rsidRDefault="001C259A" w:rsidP="00850B95">
      <w:pPr>
        <w:spacing w:after="120"/>
        <w:jc w:val="center"/>
        <w:outlineLvl w:val="0"/>
        <w:rPr>
          <w:rFonts w:eastAsia="Times New Roman" w:cs="Arial"/>
          <w:smallCaps/>
          <w:sz w:val="24"/>
          <w:szCs w:val="24"/>
          <w:lang w:eastAsia="de-DE"/>
        </w:rPr>
      </w:pPr>
      <w:r w:rsidRPr="002F301E">
        <w:rPr>
          <w:rFonts w:eastAsia="Times New Roman" w:cs="Arial"/>
          <w:smallCaps/>
          <w:sz w:val="24"/>
          <w:szCs w:val="24"/>
          <w:lang w:eastAsia="de-DE"/>
        </w:rPr>
        <w:t>R e c h t s b e h e l f s b e l e h r u n g</w:t>
      </w:r>
    </w:p>
    <w:p w:rsidR="001C259A" w:rsidRPr="002F301E" w:rsidRDefault="001C259A" w:rsidP="00850B95">
      <w:pPr>
        <w:spacing w:after="120"/>
        <w:rPr>
          <w:rFonts w:eastAsia="Times New Roman" w:cs="Arial"/>
          <w:sz w:val="24"/>
          <w:szCs w:val="24"/>
          <w:lang w:eastAsia="de-DE"/>
        </w:rPr>
      </w:pPr>
      <w:r w:rsidRPr="002F301E">
        <w:rPr>
          <w:rFonts w:eastAsia="Times New Roman" w:cs="Arial"/>
          <w:sz w:val="24"/>
          <w:szCs w:val="24"/>
          <w:lang w:eastAsia="de-DE"/>
        </w:rPr>
        <w:t>Gegen diese Allgemeinverfügung kann innerhalb eines Monats nach Bekanntgabe Widerspruch erhoben werden. Der Widerspruch ist schriftlich oder zur Niederschrift beim Lebensmittelüberwachungs-,  Tierschutz- und Veterinärdienst des Landes Bremen, Lötzener Str. 3, 28207 Bremen einzulegen.</w:t>
      </w:r>
    </w:p>
    <w:p w:rsidR="00773623" w:rsidRPr="002F301E" w:rsidRDefault="00773623" w:rsidP="00850B95">
      <w:pPr>
        <w:spacing w:after="120"/>
        <w:rPr>
          <w:rFonts w:eastAsia="Times New Roman" w:cs="Arial"/>
          <w:sz w:val="24"/>
          <w:szCs w:val="24"/>
          <w:lang w:eastAsia="de-DE"/>
        </w:rPr>
      </w:pPr>
      <w:r w:rsidRPr="002F301E">
        <w:rPr>
          <w:rFonts w:eastAsia="Times New Roman" w:cs="Arial"/>
          <w:sz w:val="24"/>
          <w:szCs w:val="24"/>
          <w:lang w:eastAsia="de-DE"/>
        </w:rPr>
        <w:t>Auf Ihren Antrag kann das Verwaltungsgericht Bremen die aufschiebende Wirkung gemäß § 80 Abs. 5 Verwaltungsgerichtsordnung ganz oder teilweise wieder herstellen.</w:t>
      </w:r>
    </w:p>
    <w:p w:rsidR="001C259A" w:rsidRPr="002F301E" w:rsidRDefault="001C259A" w:rsidP="00850B95">
      <w:pPr>
        <w:spacing w:after="120"/>
        <w:rPr>
          <w:rFonts w:eastAsia="Times New Roman" w:cs="Arial"/>
          <w:sz w:val="24"/>
          <w:szCs w:val="24"/>
          <w:lang w:eastAsia="de-DE"/>
        </w:rPr>
      </w:pPr>
      <w:r w:rsidRPr="002F301E">
        <w:rPr>
          <w:rFonts w:eastAsia="Times New Roman" w:cs="Arial"/>
          <w:sz w:val="24"/>
          <w:szCs w:val="24"/>
          <w:lang w:eastAsia="de-DE"/>
        </w:rPr>
        <w:t>Hinweise:</w:t>
      </w:r>
    </w:p>
    <w:p w:rsidR="001C259A" w:rsidRPr="002F301E" w:rsidRDefault="001C259A" w:rsidP="00850B95">
      <w:pPr>
        <w:numPr>
          <w:ilvl w:val="0"/>
          <w:numId w:val="2"/>
        </w:numPr>
        <w:spacing w:after="120"/>
        <w:ind w:left="714" w:hanging="357"/>
        <w:rPr>
          <w:rFonts w:eastAsia="Times New Roman" w:cs="Arial"/>
          <w:sz w:val="24"/>
          <w:szCs w:val="24"/>
          <w:lang w:eastAsia="de-DE"/>
        </w:rPr>
      </w:pPr>
      <w:r w:rsidRPr="002F301E">
        <w:rPr>
          <w:rFonts w:eastAsia="Times New Roman" w:cs="Arial"/>
          <w:sz w:val="24"/>
          <w:szCs w:val="24"/>
          <w:lang w:eastAsia="de-DE"/>
        </w:rPr>
        <w:t>Rechtsbehelfe gegen die Anordnung zu Nr. 1 haben keine aufschiebende Wirkung (§ 80 Abs. 2 Satz 1 Nr. 4 VwGO</w:t>
      </w:r>
      <w:r w:rsidRPr="002F301E">
        <w:rPr>
          <w:rFonts w:eastAsia="Times New Roman" w:cs="Arial"/>
          <w:sz w:val="24"/>
          <w:szCs w:val="24"/>
          <w:vertAlign w:val="superscript"/>
          <w:lang w:eastAsia="de-DE"/>
        </w:rPr>
        <w:endnoteReference w:id="5"/>
      </w:r>
      <w:r w:rsidRPr="002F301E">
        <w:rPr>
          <w:rFonts w:eastAsia="Times New Roman" w:cs="Arial"/>
          <w:sz w:val="24"/>
          <w:szCs w:val="24"/>
          <w:lang w:eastAsia="de-DE"/>
        </w:rPr>
        <w:t>).</w:t>
      </w:r>
    </w:p>
    <w:p w:rsidR="001C259A" w:rsidRDefault="001C259A" w:rsidP="00850B95">
      <w:pPr>
        <w:numPr>
          <w:ilvl w:val="0"/>
          <w:numId w:val="2"/>
        </w:numPr>
        <w:spacing w:after="120"/>
        <w:rPr>
          <w:rFonts w:eastAsia="Times New Roman" w:cs="Arial"/>
          <w:sz w:val="24"/>
          <w:szCs w:val="24"/>
          <w:lang w:eastAsia="de-DE"/>
        </w:rPr>
      </w:pPr>
      <w:r w:rsidRPr="002F301E">
        <w:rPr>
          <w:rFonts w:eastAsia="Times New Roman" w:cs="Arial"/>
          <w:sz w:val="24"/>
          <w:szCs w:val="24"/>
          <w:lang w:eastAsia="de-DE"/>
        </w:rPr>
        <w:t xml:space="preserve">Vorsätzliche oder fahrlässige Zuwiderhandlungen gegen diese Tierseuchenrechtliche Anordnung </w:t>
      </w:r>
      <w:r w:rsidR="00AB0A49" w:rsidRPr="002F301E">
        <w:rPr>
          <w:rFonts w:eastAsia="Times New Roman" w:cs="Arial"/>
          <w:sz w:val="24"/>
          <w:szCs w:val="24"/>
          <w:lang w:eastAsia="de-DE"/>
        </w:rPr>
        <w:t xml:space="preserve">können </w:t>
      </w:r>
      <w:r w:rsidRPr="002F301E">
        <w:rPr>
          <w:rFonts w:eastAsia="Times New Roman" w:cs="Arial"/>
          <w:sz w:val="24"/>
          <w:szCs w:val="24"/>
          <w:lang w:eastAsia="de-DE"/>
        </w:rPr>
        <w:t>gemäß § 32 Absatz 2 Nummer 4 Buchstabe a des Tierges</w:t>
      </w:r>
      <w:bookmarkStart w:id="0" w:name="_GoBack"/>
      <w:bookmarkEnd w:id="0"/>
      <w:r w:rsidRPr="002F301E">
        <w:rPr>
          <w:rFonts w:eastAsia="Times New Roman" w:cs="Arial"/>
          <w:sz w:val="24"/>
          <w:szCs w:val="24"/>
          <w:lang w:eastAsia="de-DE"/>
        </w:rPr>
        <w:t>undheitsgesetzes</w:t>
      </w:r>
      <w:r w:rsidR="007E653C" w:rsidRPr="002F301E">
        <w:rPr>
          <w:rStyle w:val="Endnotenzeichen"/>
          <w:rFonts w:eastAsia="Times New Roman" w:cs="Arial"/>
          <w:sz w:val="24"/>
          <w:szCs w:val="24"/>
          <w:lang w:eastAsia="de-DE"/>
        </w:rPr>
        <w:endnoteReference w:id="6"/>
      </w:r>
      <w:r w:rsidRPr="002F301E">
        <w:rPr>
          <w:rFonts w:eastAsia="Times New Roman" w:cs="Arial"/>
          <w:sz w:val="24"/>
          <w:szCs w:val="24"/>
          <w:lang w:eastAsia="de-DE"/>
        </w:rPr>
        <w:t xml:space="preserve"> als Ordnungswidrigkeit verfolgt und nach § 32 Abs. 3 mit einer Geldbuße bis zu 30.000 Euro geahndet werden.</w:t>
      </w:r>
    </w:p>
    <w:p w:rsidR="002F301E" w:rsidRDefault="002F301E" w:rsidP="002F301E">
      <w:pPr>
        <w:spacing w:after="120"/>
        <w:rPr>
          <w:rFonts w:eastAsia="Times New Roman" w:cs="Arial"/>
          <w:sz w:val="24"/>
          <w:szCs w:val="24"/>
          <w:lang w:eastAsia="de-DE"/>
        </w:rPr>
      </w:pPr>
      <w:r>
        <w:rPr>
          <w:rFonts w:eastAsia="Times New Roman" w:cs="Arial"/>
          <w:sz w:val="24"/>
          <w:szCs w:val="24"/>
          <w:lang w:eastAsia="de-DE"/>
        </w:rPr>
        <w:t>Bremen, den 11.11.2016</w:t>
      </w:r>
    </w:p>
    <w:p w:rsidR="002F301E" w:rsidRPr="002F301E" w:rsidRDefault="002F301E" w:rsidP="002F301E">
      <w:pPr>
        <w:jc w:val="right"/>
        <w:rPr>
          <w:rFonts w:eastAsia="SimSun" w:cs="Arial"/>
          <w:sz w:val="24"/>
          <w:szCs w:val="24"/>
        </w:rPr>
      </w:pPr>
      <w:r w:rsidRPr="002F301E">
        <w:rPr>
          <w:rFonts w:eastAsia="SimSun" w:cs="Arial"/>
          <w:sz w:val="24"/>
          <w:szCs w:val="24"/>
        </w:rPr>
        <w:t>Lebensmittelüberwachungs-, Tierschutz-</w:t>
      </w:r>
    </w:p>
    <w:p w:rsidR="002F301E" w:rsidRPr="002F301E" w:rsidRDefault="002F301E" w:rsidP="002F301E">
      <w:pPr>
        <w:spacing w:after="120"/>
        <w:jc w:val="right"/>
        <w:rPr>
          <w:rFonts w:eastAsia="Times New Roman" w:cs="Arial"/>
          <w:sz w:val="24"/>
          <w:szCs w:val="24"/>
          <w:lang w:eastAsia="de-DE"/>
        </w:rPr>
      </w:pPr>
      <w:r w:rsidRPr="002F301E">
        <w:rPr>
          <w:rFonts w:eastAsia="SimSun" w:cs="Arial"/>
          <w:sz w:val="24"/>
          <w:szCs w:val="24"/>
        </w:rPr>
        <w:t>und Veterinärdienst des Landes Bremen</w:t>
      </w:r>
    </w:p>
    <w:sectPr w:rsidR="002F301E" w:rsidRPr="002F301E" w:rsidSect="00B571A7">
      <w:headerReference w:type="default" r:id="rId9"/>
      <w:endnotePr>
        <w:numFmt w:val="decimal"/>
      </w:endnotePr>
      <w:pgSz w:w="11906" w:h="16838"/>
      <w:pgMar w:top="1417" w:right="1417" w:bottom="568" w:left="1417"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C4" w:rsidRDefault="003B2AC4" w:rsidP="003C7C4D">
      <w:r>
        <w:separator/>
      </w:r>
    </w:p>
  </w:endnote>
  <w:endnote w:type="continuationSeparator" w:id="0">
    <w:p w:rsidR="003B2AC4" w:rsidRDefault="003B2AC4" w:rsidP="003C7C4D">
      <w:r>
        <w:continuationSeparator/>
      </w:r>
    </w:p>
  </w:endnote>
  <w:endnote w:id="1">
    <w:p w:rsidR="008713F2" w:rsidRDefault="008713F2" w:rsidP="002F301E">
      <w:pPr>
        <w:pStyle w:val="Endnotentext"/>
        <w:ind w:left="284" w:hanging="284"/>
      </w:pPr>
      <w:r>
        <w:rPr>
          <w:rStyle w:val="Endnotenzeichen"/>
        </w:rPr>
        <w:endnoteRef/>
      </w:r>
      <w:r>
        <w:t xml:space="preserve"> </w:t>
      </w:r>
      <w:r w:rsidR="002F301E">
        <w:tab/>
      </w:r>
      <w:r w:rsidRPr="008D2F24">
        <w:t>Geflügelpest-Verordnung in der Fassung der Bekanntmachung vom 8. Mai 2013</w:t>
      </w:r>
      <w:r>
        <w:t xml:space="preserve"> (BGBl. I S. 1212), zuletzt durch Artikel 1 der Verordnung vom 29. Juni 2016 (BGBl. I S. 1564) geändert worden ist</w:t>
      </w:r>
    </w:p>
  </w:endnote>
  <w:endnote w:id="2">
    <w:p w:rsidR="008713F2" w:rsidRDefault="008713F2" w:rsidP="002F301E">
      <w:pPr>
        <w:pStyle w:val="Endnotentext"/>
        <w:ind w:left="284" w:hanging="284"/>
      </w:pPr>
      <w:r>
        <w:rPr>
          <w:rStyle w:val="Endnotenzeichen"/>
        </w:rPr>
        <w:endnoteRef/>
      </w:r>
      <w:r>
        <w:t xml:space="preserve"> </w:t>
      </w:r>
      <w:r w:rsidR="002F301E">
        <w:tab/>
      </w:r>
      <w:r w:rsidRPr="008713F2">
        <w:t>Geflügelpest-Verordnung in der Fassung der Bekanntmachung vom 21. Dezember 1994 (BGBl. I S. 3930</w:t>
      </w:r>
      <w:r>
        <w:t>)</w:t>
      </w:r>
      <w:r w:rsidR="00270F0E">
        <w:t>, in der zurzeit geltenden Fassung</w:t>
      </w:r>
    </w:p>
  </w:endnote>
  <w:endnote w:id="3">
    <w:p w:rsidR="00A7652B" w:rsidRPr="008D2F24" w:rsidRDefault="00A7652B" w:rsidP="002F301E">
      <w:pPr>
        <w:pStyle w:val="Endnotentext"/>
        <w:ind w:left="284" w:hanging="284"/>
      </w:pPr>
      <w:r w:rsidRPr="008D2F24">
        <w:rPr>
          <w:rStyle w:val="Endnotenzeichen"/>
        </w:rPr>
        <w:endnoteRef/>
      </w:r>
      <w:r w:rsidR="00773623">
        <w:t xml:space="preserve"> </w:t>
      </w:r>
      <w:r w:rsidR="002F301E">
        <w:tab/>
      </w:r>
      <w:r w:rsidR="00773623">
        <w:t>Bremisch</w:t>
      </w:r>
      <w:r w:rsidRPr="008D2F24">
        <w:t>es Verwaltungsverfahrensgesetz (</w:t>
      </w:r>
      <w:proofErr w:type="spellStart"/>
      <w:r w:rsidRPr="008D2F24">
        <w:t>BremVwVfG</w:t>
      </w:r>
      <w:proofErr w:type="spellEnd"/>
      <w:r w:rsidRPr="008D2F24">
        <w:t xml:space="preserve">), </w:t>
      </w:r>
      <w:r w:rsidR="00FB64DC" w:rsidRPr="008D2F24">
        <w:t>in der zurzeit geltenden Fassung</w:t>
      </w:r>
    </w:p>
  </w:endnote>
  <w:endnote w:id="4">
    <w:p w:rsidR="008B587A" w:rsidRDefault="008B587A" w:rsidP="002F301E">
      <w:pPr>
        <w:pStyle w:val="Endnotentext"/>
        <w:ind w:left="284" w:hanging="284"/>
      </w:pPr>
      <w:r>
        <w:rPr>
          <w:rStyle w:val="Endnotenzeichen"/>
        </w:rPr>
        <w:endnoteRef/>
      </w:r>
      <w:r>
        <w:t xml:space="preserve"> </w:t>
      </w:r>
      <w:r w:rsidR="002F301E">
        <w:tab/>
      </w:r>
      <w:r w:rsidRPr="008B587A">
        <w:t>Verwaltungsgerichtsordnung in der Fassung der Bekanntmachung vom 19. März 1991 (BGBl. I S. 686), die zuletzt durch Artikel 13 des Gesetzes vom 8. Juli 2014 (BGBl. I S. 890) geändert worden ist</w:t>
      </w:r>
    </w:p>
  </w:endnote>
  <w:endnote w:id="5">
    <w:p w:rsidR="007E653C" w:rsidRDefault="001C259A" w:rsidP="002F301E">
      <w:pPr>
        <w:pStyle w:val="Endnotentext"/>
        <w:ind w:left="284" w:hanging="284"/>
      </w:pPr>
      <w:r w:rsidRPr="008D2F24">
        <w:rPr>
          <w:rStyle w:val="Endnotenzeichen"/>
        </w:rPr>
        <w:endnoteRef/>
      </w:r>
      <w:r w:rsidRPr="008D2F24">
        <w:t xml:space="preserve"> </w:t>
      </w:r>
      <w:r w:rsidR="002F301E">
        <w:tab/>
      </w:r>
      <w:r w:rsidR="007E653C">
        <w:t>Verwaltungsgerichtsordnung in der Fassung der Bekanntmachung vom 19. März 1991 (BGBl. I S. 686), die zuletzt durch Artikel 3 des Gesetzes vom 21. Dezember 2015 (BGBl. I S. 2490) geändert worden ist</w:t>
      </w:r>
    </w:p>
  </w:endnote>
  <w:endnote w:id="6">
    <w:p w:rsidR="007E653C" w:rsidRDefault="007E653C" w:rsidP="002F301E">
      <w:pPr>
        <w:pStyle w:val="Endnotentext"/>
        <w:ind w:left="284" w:hanging="284"/>
      </w:pPr>
      <w:r>
        <w:rPr>
          <w:rStyle w:val="Endnotenzeichen"/>
        </w:rPr>
        <w:endnoteRef/>
      </w:r>
      <w:r>
        <w:t xml:space="preserve"> </w:t>
      </w:r>
      <w:r w:rsidR="002F301E">
        <w:tab/>
      </w:r>
      <w:r>
        <w:t>Tiergesundheitsgesetz vom 22. Mai 2013 (BGBl. I S. 1324), in der zurzeit geltenden Fassung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C4" w:rsidRDefault="003B2AC4" w:rsidP="003C7C4D">
      <w:r>
        <w:separator/>
      </w:r>
    </w:p>
  </w:footnote>
  <w:footnote w:type="continuationSeparator" w:id="0">
    <w:p w:rsidR="003B2AC4" w:rsidRDefault="003B2AC4" w:rsidP="003C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691"/>
      <w:gridCol w:w="680"/>
      <w:gridCol w:w="2608"/>
    </w:tblGrid>
    <w:tr w:rsidR="00B571A7">
      <w:trPr>
        <w:trHeight w:hRule="exact" w:val="1088"/>
      </w:trPr>
      <w:tc>
        <w:tcPr>
          <w:tcW w:w="6691" w:type="dxa"/>
        </w:tcPr>
        <w:p w:rsidR="00B571A7" w:rsidRPr="00EC0353" w:rsidRDefault="00B571A7" w:rsidP="00F7756C">
          <w:pPr>
            <w:pStyle w:val="berschrift1"/>
            <w:spacing w:before="0"/>
            <w:rPr>
              <w:rFonts w:cs="Arial"/>
              <w:szCs w:val="24"/>
            </w:rPr>
          </w:pPr>
          <w:r>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25pt;margin-top:4.5pt;width:23.55pt;height:31.8pt;z-index:251659264" o:allowincell="f" fillcolor="window">
                <v:imagedata r:id="rId1" o:title=""/>
              </v:shape>
              <o:OLEObject Type="Embed" ProgID="Word.Picture.8" ShapeID="_x0000_s2049" DrawAspect="Content" ObjectID="_1540377728" r:id="rId2"/>
            </w:pict>
          </w:r>
          <w:r w:rsidRPr="00EC0353">
            <w:rPr>
              <w:rFonts w:cs="Arial"/>
              <w:szCs w:val="24"/>
            </w:rPr>
            <w:t xml:space="preserve">Lebensmittelüberwachungs-, Tierschutz- </w:t>
          </w:r>
          <w:r w:rsidRPr="00EC0353">
            <w:rPr>
              <w:rFonts w:cs="Arial"/>
              <w:szCs w:val="24"/>
            </w:rPr>
            <w:br/>
            <w:t xml:space="preserve">und Veterinärdienst des Landes Bremen </w:t>
          </w:r>
        </w:p>
      </w:tc>
      <w:tc>
        <w:tcPr>
          <w:tcW w:w="680" w:type="dxa"/>
        </w:tcPr>
        <w:p w:rsidR="00B571A7" w:rsidRDefault="00B571A7">
          <w:pPr>
            <w:spacing w:line="320" w:lineRule="exact"/>
          </w:pPr>
        </w:p>
      </w:tc>
      <w:tc>
        <w:tcPr>
          <w:tcW w:w="2608" w:type="dxa"/>
        </w:tcPr>
        <w:p w:rsidR="00B571A7" w:rsidRPr="000739F9" w:rsidRDefault="00B571A7">
          <w:pPr>
            <w:spacing w:line="320" w:lineRule="exact"/>
            <w:rPr>
              <w:rFonts w:cs="Arial"/>
            </w:rPr>
          </w:pPr>
          <w:r w:rsidRPr="000739F9">
            <w:rPr>
              <w:rFonts w:cs="Arial"/>
              <w:b/>
              <w:sz w:val="28"/>
            </w:rPr>
            <w:t>Freie</w:t>
          </w:r>
          <w:r w:rsidRPr="000739F9">
            <w:rPr>
              <w:rFonts w:cs="Arial"/>
              <w:b/>
              <w:sz w:val="28"/>
            </w:rPr>
            <w:br/>
            <w:t>Hansestadt</w:t>
          </w:r>
          <w:r w:rsidRPr="000739F9">
            <w:rPr>
              <w:rFonts w:cs="Arial"/>
              <w:b/>
              <w:sz w:val="28"/>
            </w:rPr>
            <w:br/>
            <w:t>Bremen</w:t>
          </w:r>
        </w:p>
      </w:tc>
    </w:tr>
  </w:tbl>
  <w:p w:rsidR="00850B95" w:rsidRDefault="00850B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A1C"/>
    <w:multiLevelType w:val="hybridMultilevel"/>
    <w:tmpl w:val="40EAE5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F613FC"/>
    <w:multiLevelType w:val="hybridMultilevel"/>
    <w:tmpl w:val="BF7447A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464474"/>
    <w:multiLevelType w:val="hybridMultilevel"/>
    <w:tmpl w:val="CFAA2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FE333C"/>
    <w:multiLevelType w:val="hybridMultilevel"/>
    <w:tmpl w:val="3AE82B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7D7D81"/>
    <w:multiLevelType w:val="hybridMultilevel"/>
    <w:tmpl w:val="1144D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F4614E"/>
    <w:multiLevelType w:val="hybridMultilevel"/>
    <w:tmpl w:val="82706D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10297C"/>
    <w:multiLevelType w:val="hybridMultilevel"/>
    <w:tmpl w:val="0C569EDC"/>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7E"/>
    <w:rsid w:val="001B16F4"/>
    <w:rsid w:val="001C259A"/>
    <w:rsid w:val="001D21A5"/>
    <w:rsid w:val="00270F0E"/>
    <w:rsid w:val="00293C7F"/>
    <w:rsid w:val="002A63A2"/>
    <w:rsid w:val="002F301E"/>
    <w:rsid w:val="00343ACA"/>
    <w:rsid w:val="00383C46"/>
    <w:rsid w:val="003B2AC4"/>
    <w:rsid w:val="003C7C4D"/>
    <w:rsid w:val="005126AB"/>
    <w:rsid w:val="00561294"/>
    <w:rsid w:val="006258CD"/>
    <w:rsid w:val="0064747E"/>
    <w:rsid w:val="00693DC7"/>
    <w:rsid w:val="007111C3"/>
    <w:rsid w:val="00711E16"/>
    <w:rsid w:val="00773623"/>
    <w:rsid w:val="007A57CF"/>
    <w:rsid w:val="007E0845"/>
    <w:rsid w:val="007E653C"/>
    <w:rsid w:val="00850B95"/>
    <w:rsid w:val="00860F63"/>
    <w:rsid w:val="008713F2"/>
    <w:rsid w:val="00877189"/>
    <w:rsid w:val="008B587A"/>
    <w:rsid w:val="008C0BBC"/>
    <w:rsid w:val="008D2F24"/>
    <w:rsid w:val="00965091"/>
    <w:rsid w:val="009E7D54"/>
    <w:rsid w:val="00A3094E"/>
    <w:rsid w:val="00A7652B"/>
    <w:rsid w:val="00AB0A49"/>
    <w:rsid w:val="00B357A8"/>
    <w:rsid w:val="00B44F47"/>
    <w:rsid w:val="00B44FF0"/>
    <w:rsid w:val="00B571A7"/>
    <w:rsid w:val="00B63900"/>
    <w:rsid w:val="00BD5AA4"/>
    <w:rsid w:val="00CA238B"/>
    <w:rsid w:val="00D51BF9"/>
    <w:rsid w:val="00D64309"/>
    <w:rsid w:val="00D66F97"/>
    <w:rsid w:val="00DA7145"/>
    <w:rsid w:val="00E01821"/>
    <w:rsid w:val="00EA77B9"/>
    <w:rsid w:val="00FB64DC"/>
    <w:rsid w:val="00FC40B0"/>
    <w:rsid w:val="00FD6C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571A7"/>
    <w:pPr>
      <w:keepNext/>
      <w:spacing w:before="320" w:line="320" w:lineRule="exact"/>
      <w:outlineLvl w:val="0"/>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58CD"/>
  </w:style>
  <w:style w:type="paragraph" w:styleId="Endnotentext">
    <w:name w:val="endnote text"/>
    <w:basedOn w:val="Standard"/>
    <w:link w:val="EndnotentextZchn"/>
    <w:rsid w:val="003C7C4D"/>
    <w:rPr>
      <w:rFonts w:eastAsia="Times New Roman" w:cs="Times New Roman"/>
      <w:sz w:val="20"/>
      <w:szCs w:val="20"/>
      <w:lang w:eastAsia="de-DE"/>
    </w:rPr>
  </w:style>
  <w:style w:type="character" w:customStyle="1" w:styleId="EndnotentextZchn">
    <w:name w:val="Endnotentext Zchn"/>
    <w:basedOn w:val="Absatz-Standardschriftart"/>
    <w:link w:val="Endnotentext"/>
    <w:rsid w:val="003C7C4D"/>
    <w:rPr>
      <w:rFonts w:eastAsia="Times New Roman" w:cs="Times New Roman"/>
      <w:sz w:val="20"/>
      <w:szCs w:val="20"/>
      <w:lang w:eastAsia="de-DE"/>
    </w:rPr>
  </w:style>
  <w:style w:type="character" w:styleId="Endnotenzeichen">
    <w:name w:val="endnote reference"/>
    <w:basedOn w:val="Absatz-Standardschriftart"/>
    <w:rsid w:val="003C7C4D"/>
    <w:rPr>
      <w:vertAlign w:val="superscript"/>
    </w:rPr>
  </w:style>
  <w:style w:type="paragraph" w:styleId="Fuzeile">
    <w:name w:val="footer"/>
    <w:basedOn w:val="Standard"/>
    <w:link w:val="FuzeileZchn"/>
    <w:rsid w:val="001B16F4"/>
    <w:pPr>
      <w:tabs>
        <w:tab w:val="center" w:pos="4819"/>
        <w:tab w:val="right" w:pos="9071"/>
      </w:tabs>
    </w:pPr>
    <w:rPr>
      <w:rFonts w:ascii="CG Times (WN)" w:eastAsia="Times New Roman" w:hAnsi="CG Times (WN)" w:cs="Times New Roman"/>
      <w:szCs w:val="20"/>
      <w:lang w:eastAsia="de-DE"/>
    </w:rPr>
  </w:style>
  <w:style w:type="character" w:customStyle="1" w:styleId="FuzeileZchn">
    <w:name w:val="Fußzeile Zchn"/>
    <w:basedOn w:val="Absatz-Standardschriftart"/>
    <w:link w:val="Fuzeile"/>
    <w:rsid w:val="001B16F4"/>
    <w:rPr>
      <w:rFonts w:ascii="CG Times (WN)" w:eastAsia="Times New Roman" w:hAnsi="CG Times (WN)" w:cs="Times New Roman"/>
      <w:szCs w:val="20"/>
      <w:lang w:eastAsia="de-DE"/>
    </w:rPr>
  </w:style>
  <w:style w:type="paragraph" w:styleId="Listenabsatz">
    <w:name w:val="List Paragraph"/>
    <w:basedOn w:val="Standard"/>
    <w:uiPriority w:val="34"/>
    <w:qFormat/>
    <w:rsid w:val="00EA77B9"/>
    <w:pPr>
      <w:ind w:left="720"/>
      <w:contextualSpacing/>
    </w:pPr>
  </w:style>
  <w:style w:type="paragraph" w:styleId="Kopfzeile">
    <w:name w:val="header"/>
    <w:basedOn w:val="Standard"/>
    <w:link w:val="KopfzeileZchn"/>
    <w:uiPriority w:val="99"/>
    <w:unhideWhenUsed/>
    <w:rsid w:val="00850B95"/>
    <w:pPr>
      <w:tabs>
        <w:tab w:val="center" w:pos="4536"/>
        <w:tab w:val="right" w:pos="9072"/>
      </w:tabs>
    </w:pPr>
  </w:style>
  <w:style w:type="character" w:customStyle="1" w:styleId="KopfzeileZchn">
    <w:name w:val="Kopfzeile Zchn"/>
    <w:basedOn w:val="Absatz-Standardschriftart"/>
    <w:link w:val="Kopfzeile"/>
    <w:uiPriority w:val="99"/>
    <w:rsid w:val="00850B95"/>
  </w:style>
  <w:style w:type="character" w:customStyle="1" w:styleId="berschrift1Zchn">
    <w:name w:val="Überschrift 1 Zchn"/>
    <w:basedOn w:val="Absatz-Standardschriftart"/>
    <w:link w:val="berschrift1"/>
    <w:rsid w:val="00B571A7"/>
    <w:rPr>
      <w:rFonts w:eastAsia="Times New Roman"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571A7"/>
    <w:pPr>
      <w:keepNext/>
      <w:spacing w:before="320" w:line="320" w:lineRule="exact"/>
      <w:outlineLvl w:val="0"/>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58CD"/>
  </w:style>
  <w:style w:type="paragraph" w:styleId="Endnotentext">
    <w:name w:val="endnote text"/>
    <w:basedOn w:val="Standard"/>
    <w:link w:val="EndnotentextZchn"/>
    <w:rsid w:val="003C7C4D"/>
    <w:rPr>
      <w:rFonts w:eastAsia="Times New Roman" w:cs="Times New Roman"/>
      <w:sz w:val="20"/>
      <w:szCs w:val="20"/>
      <w:lang w:eastAsia="de-DE"/>
    </w:rPr>
  </w:style>
  <w:style w:type="character" w:customStyle="1" w:styleId="EndnotentextZchn">
    <w:name w:val="Endnotentext Zchn"/>
    <w:basedOn w:val="Absatz-Standardschriftart"/>
    <w:link w:val="Endnotentext"/>
    <w:rsid w:val="003C7C4D"/>
    <w:rPr>
      <w:rFonts w:eastAsia="Times New Roman" w:cs="Times New Roman"/>
      <w:sz w:val="20"/>
      <w:szCs w:val="20"/>
      <w:lang w:eastAsia="de-DE"/>
    </w:rPr>
  </w:style>
  <w:style w:type="character" w:styleId="Endnotenzeichen">
    <w:name w:val="endnote reference"/>
    <w:basedOn w:val="Absatz-Standardschriftart"/>
    <w:rsid w:val="003C7C4D"/>
    <w:rPr>
      <w:vertAlign w:val="superscript"/>
    </w:rPr>
  </w:style>
  <w:style w:type="paragraph" w:styleId="Fuzeile">
    <w:name w:val="footer"/>
    <w:basedOn w:val="Standard"/>
    <w:link w:val="FuzeileZchn"/>
    <w:rsid w:val="001B16F4"/>
    <w:pPr>
      <w:tabs>
        <w:tab w:val="center" w:pos="4819"/>
        <w:tab w:val="right" w:pos="9071"/>
      </w:tabs>
    </w:pPr>
    <w:rPr>
      <w:rFonts w:ascii="CG Times (WN)" w:eastAsia="Times New Roman" w:hAnsi="CG Times (WN)" w:cs="Times New Roman"/>
      <w:szCs w:val="20"/>
      <w:lang w:eastAsia="de-DE"/>
    </w:rPr>
  </w:style>
  <w:style w:type="character" w:customStyle="1" w:styleId="FuzeileZchn">
    <w:name w:val="Fußzeile Zchn"/>
    <w:basedOn w:val="Absatz-Standardschriftart"/>
    <w:link w:val="Fuzeile"/>
    <w:rsid w:val="001B16F4"/>
    <w:rPr>
      <w:rFonts w:ascii="CG Times (WN)" w:eastAsia="Times New Roman" w:hAnsi="CG Times (WN)" w:cs="Times New Roman"/>
      <w:szCs w:val="20"/>
      <w:lang w:eastAsia="de-DE"/>
    </w:rPr>
  </w:style>
  <w:style w:type="paragraph" w:styleId="Listenabsatz">
    <w:name w:val="List Paragraph"/>
    <w:basedOn w:val="Standard"/>
    <w:uiPriority w:val="34"/>
    <w:qFormat/>
    <w:rsid w:val="00EA77B9"/>
    <w:pPr>
      <w:ind w:left="720"/>
      <w:contextualSpacing/>
    </w:pPr>
  </w:style>
  <w:style w:type="paragraph" w:styleId="Kopfzeile">
    <w:name w:val="header"/>
    <w:basedOn w:val="Standard"/>
    <w:link w:val="KopfzeileZchn"/>
    <w:uiPriority w:val="99"/>
    <w:unhideWhenUsed/>
    <w:rsid w:val="00850B95"/>
    <w:pPr>
      <w:tabs>
        <w:tab w:val="center" w:pos="4536"/>
        <w:tab w:val="right" w:pos="9072"/>
      </w:tabs>
    </w:pPr>
  </w:style>
  <w:style w:type="character" w:customStyle="1" w:styleId="KopfzeileZchn">
    <w:name w:val="Kopfzeile Zchn"/>
    <w:basedOn w:val="Absatz-Standardschriftart"/>
    <w:link w:val="Kopfzeile"/>
    <w:uiPriority w:val="99"/>
    <w:rsid w:val="00850B95"/>
  </w:style>
  <w:style w:type="character" w:customStyle="1" w:styleId="berschrift1Zchn">
    <w:name w:val="Überschrift 1 Zchn"/>
    <w:basedOn w:val="Absatz-Standardschriftart"/>
    <w:link w:val="berschrift1"/>
    <w:rsid w:val="00B571A7"/>
    <w:rPr>
      <w:rFonts w:eastAsia="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3C26-0238-436E-9B0B-E25FFC94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70F8F7C5.dotm</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Uwe (LMTVet)</dc:creator>
  <cp:lastModifiedBy>Hübner, Susanne (LMTVet)</cp:lastModifiedBy>
  <cp:revision>2</cp:revision>
  <dcterms:created xsi:type="dcterms:W3CDTF">2016-11-11T12:56:00Z</dcterms:created>
  <dcterms:modified xsi:type="dcterms:W3CDTF">2016-11-11T12:56:00Z</dcterms:modified>
</cp:coreProperties>
</file>