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8F" w:rsidRPr="00E504BD" w:rsidRDefault="006B6C8F" w:rsidP="00222E12">
      <w:pPr>
        <w:jc w:val="center"/>
        <w:rPr>
          <w:rFonts w:ascii="Arial" w:hAnsi="Arial" w:cs="Arial"/>
          <w:b/>
          <w:sz w:val="24"/>
          <w:szCs w:val="24"/>
        </w:rPr>
      </w:pPr>
      <w:r w:rsidRPr="00285402">
        <w:rPr>
          <w:rFonts w:ascii="Arial" w:hAnsi="Arial" w:cs="Arial"/>
          <w:b/>
          <w:sz w:val="28"/>
          <w:szCs w:val="28"/>
        </w:rPr>
        <w:t>Leitlinie zur bundesweiten Anerkennung von Fortbildungsveransta</w:t>
      </w:r>
      <w:r w:rsidRPr="00285402">
        <w:rPr>
          <w:rFonts w:ascii="Arial" w:hAnsi="Arial" w:cs="Arial"/>
          <w:b/>
          <w:sz w:val="28"/>
          <w:szCs w:val="28"/>
        </w:rPr>
        <w:t>l</w:t>
      </w:r>
      <w:r w:rsidRPr="00285402">
        <w:rPr>
          <w:rFonts w:ascii="Arial" w:hAnsi="Arial" w:cs="Arial"/>
          <w:b/>
          <w:sz w:val="28"/>
          <w:szCs w:val="28"/>
        </w:rPr>
        <w:t>tungen</w:t>
      </w:r>
      <w:r w:rsidRPr="00285402">
        <w:rPr>
          <w:rFonts w:ascii="Arial" w:hAnsi="Arial" w:cs="Arial"/>
          <w:b/>
          <w:sz w:val="28"/>
          <w:szCs w:val="28"/>
        </w:rPr>
        <w:br/>
      </w:r>
      <w:r w:rsidRPr="00E504BD">
        <w:rPr>
          <w:rFonts w:ascii="Arial" w:hAnsi="Arial" w:cs="Arial"/>
          <w:sz w:val="24"/>
          <w:szCs w:val="24"/>
        </w:rPr>
        <w:t>nach § 7 Pflanzenschutz</w:t>
      </w:r>
      <w:r>
        <w:rPr>
          <w:rFonts w:ascii="Arial" w:hAnsi="Arial" w:cs="Arial"/>
          <w:sz w:val="24"/>
          <w:szCs w:val="24"/>
        </w:rPr>
        <w:t>-S</w:t>
      </w:r>
      <w:r w:rsidRPr="00E504BD">
        <w:rPr>
          <w:rFonts w:ascii="Arial" w:hAnsi="Arial" w:cs="Arial"/>
          <w:sz w:val="24"/>
          <w:szCs w:val="24"/>
        </w:rPr>
        <w:t>achkundeverordnung (PflSchSachkV)</w:t>
      </w:r>
    </w:p>
    <w:p w:rsidR="006B6C8F" w:rsidRDefault="006B6C8F" w:rsidP="000B11AF">
      <w:pPr>
        <w:jc w:val="center"/>
        <w:rPr>
          <w:rFonts w:ascii="Arial" w:hAnsi="Arial" w:cs="Arial"/>
          <w:sz w:val="24"/>
          <w:szCs w:val="24"/>
        </w:rPr>
      </w:pPr>
    </w:p>
    <w:p w:rsidR="006B6C8F" w:rsidRDefault="006B6C8F" w:rsidP="000B11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Leitlinie soll die länderübergreifende Anerkennung und Durchführung von Fortbildungsmaßnahmen zur Sachkunde im Pflanzenschutz gemäß PflSchSachkV auf Basis einheitlicher Kriterien gewährleisten. Sie korrespondiert mit dem einheitl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chen Antragsformular der Bundesländer. </w:t>
      </w:r>
    </w:p>
    <w:p w:rsidR="006B6C8F" w:rsidRDefault="006B6C8F" w:rsidP="000B11AF">
      <w:pPr>
        <w:rPr>
          <w:rFonts w:ascii="Arial" w:hAnsi="Arial" w:cs="Arial"/>
          <w:sz w:val="24"/>
          <w:szCs w:val="24"/>
        </w:rPr>
      </w:pPr>
    </w:p>
    <w:p w:rsidR="006B6C8F" w:rsidRDefault="006B6C8F" w:rsidP="007F1D23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BB27BF">
        <w:rPr>
          <w:rFonts w:ascii="Arial" w:hAnsi="Arial" w:cs="Arial"/>
          <w:b/>
          <w:sz w:val="24"/>
          <w:szCs w:val="24"/>
        </w:rPr>
        <w:t>Kontaktdaten</w:t>
      </w:r>
    </w:p>
    <w:p w:rsidR="006B6C8F" w:rsidRPr="007F1D23" w:rsidRDefault="006B6C8F" w:rsidP="007F1D23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6B6C8F" w:rsidRDefault="006B6C8F" w:rsidP="00BB27BF">
      <w:pPr>
        <w:pStyle w:val="ListParagraph"/>
        <w:numPr>
          <w:ilvl w:val="1"/>
          <w:numId w:val="1"/>
        </w:numPr>
        <w:ind w:hanging="5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Anschrift des Fortbildungsanbieters / Unternehmens</w:t>
      </w:r>
    </w:p>
    <w:p w:rsidR="006B6C8F" w:rsidRDefault="006B6C8F" w:rsidP="00E67CCD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Kontaktdaten sowie die Art der Unternehmenstätigkeit des Veranstalters der Fortbildungsmaßnahme sind vollständig anzugeben. Die Fortbildungsve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anstaltungen der für die Anerkennung zuständigen Behörden sind gem. § 7 Abs. 4 PflSchSachkV anerkannt. Es sind an diese Veranstaltungen der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hörden die gleichen Maßstäbe zu legen, wie an Veranstaltungen Dritter.</w:t>
      </w:r>
    </w:p>
    <w:p w:rsidR="006B6C8F" w:rsidRPr="00E67CCD" w:rsidRDefault="006B6C8F" w:rsidP="00E67CCD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B6C8F" w:rsidRDefault="006B6C8F" w:rsidP="00BB27BF">
      <w:pPr>
        <w:pStyle w:val="ListParagraph"/>
        <w:numPr>
          <w:ilvl w:val="1"/>
          <w:numId w:val="1"/>
        </w:numPr>
        <w:ind w:hanging="5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Verantwortlicher Ansprechpartner für die Durchführung der Fortbi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dungsmaßnahme</w:t>
      </w:r>
    </w:p>
    <w:p w:rsidR="006B6C8F" w:rsidRDefault="006B6C8F" w:rsidP="00E67CCD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Kontaktdaten der verantwortlichen Person müssen in vollständiger Form vorliegen, um die Kontaktaufnahme mit einem konkreten Ansprechpartner zu ermöglichen.</w:t>
      </w:r>
    </w:p>
    <w:p w:rsidR="006B6C8F" w:rsidRPr="00E67CCD" w:rsidRDefault="006B6C8F" w:rsidP="00E67CCD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B6C8F" w:rsidRDefault="006B6C8F" w:rsidP="00BB27BF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Veranstaltung</w:t>
      </w:r>
    </w:p>
    <w:p w:rsidR="006B6C8F" w:rsidRDefault="006B6C8F" w:rsidP="00BB27BF">
      <w:pPr>
        <w:pStyle w:val="ListParagraph"/>
        <w:numPr>
          <w:ilvl w:val="1"/>
          <w:numId w:val="1"/>
        </w:numPr>
        <w:ind w:hanging="5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Zielgruppe</w:t>
      </w:r>
    </w:p>
    <w:p w:rsidR="006B6C8F" w:rsidRDefault="006B6C8F" w:rsidP="00D77EFB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soll angegeben werden, für welche Zielgruppe (Anwender, Berater oder Abgeber / Händler) die anzuerkennende Veranstaltung angeboten wird, um die zielgruppenorientierte inhaltliche Ausrichtung der Veranstaltung beurteilen zu können.</w:t>
      </w:r>
    </w:p>
    <w:p w:rsidR="006B6C8F" w:rsidRPr="00D77EFB" w:rsidRDefault="006B6C8F" w:rsidP="00D77EFB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B6C8F" w:rsidRDefault="006B6C8F" w:rsidP="00BB27BF">
      <w:pPr>
        <w:pStyle w:val="ListParagraph"/>
        <w:numPr>
          <w:ilvl w:val="1"/>
          <w:numId w:val="1"/>
        </w:numPr>
        <w:ind w:hanging="5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Angaben zu den Fachthemen und Fachreferenten</w:t>
      </w:r>
    </w:p>
    <w:p w:rsidR="006B6C8F" w:rsidRDefault="006B6C8F" w:rsidP="007F1D23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sind aus nachfolgenden acht Themenblöcken je Fortbildungsmaßnahme mindestens vier Themenblöcke abzudecken:</w:t>
      </w:r>
    </w:p>
    <w:p w:rsidR="006B6C8F" w:rsidRDefault="006B6C8F" w:rsidP="00D61F4B">
      <w:pPr>
        <w:pStyle w:val="ListParagraph"/>
        <w:numPr>
          <w:ilvl w:val="0"/>
          <w:numId w:val="2"/>
        </w:numPr>
        <w:ind w:left="1418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Rechtsgrundlagen (wesentliche rechtliche Bestimmungen im Pflanze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schutz, Grundsätze einer rechtskonformen Anwendung von PSM)</w:t>
      </w:r>
    </w:p>
    <w:p w:rsidR="006B6C8F" w:rsidRDefault="006B6C8F" w:rsidP="00D61F4B">
      <w:pPr>
        <w:pStyle w:val="ListParagraph"/>
        <w:numPr>
          <w:ilvl w:val="0"/>
          <w:numId w:val="2"/>
        </w:numPr>
        <w:ind w:left="1418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Integrierter Pflanzenschutz (Maßnahmen und Instrumente des integrie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ten Pflanzenschutzes gem. Anhang III Richtlinie</w:t>
      </w:r>
      <w:r w:rsidRPr="00F2111C">
        <w:rPr>
          <w:rFonts w:ascii="Arial" w:hAnsi="Arial" w:cs="Arial"/>
          <w:sz w:val="24"/>
          <w:szCs w:val="24"/>
        </w:rPr>
        <w:t xml:space="preserve"> 2009/128/EG</w:t>
      </w:r>
      <w:r>
        <w:rPr>
          <w:rFonts w:ascii="Arial" w:hAnsi="Arial" w:cs="Arial"/>
          <w:sz w:val="24"/>
          <w:szCs w:val="24"/>
        </w:rPr>
        <w:t>)</w:t>
      </w:r>
    </w:p>
    <w:p w:rsidR="006B6C8F" w:rsidRDefault="006B6C8F" w:rsidP="003C26D7">
      <w:pPr>
        <w:pStyle w:val="ListParagraph"/>
        <w:numPr>
          <w:ilvl w:val="0"/>
          <w:numId w:val="2"/>
        </w:numPr>
        <w:ind w:left="1418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Schadursachen und ihre Diagnose</w:t>
      </w:r>
    </w:p>
    <w:p w:rsidR="006B6C8F" w:rsidRDefault="006B6C8F" w:rsidP="00D61F4B">
      <w:pPr>
        <w:pStyle w:val="ListParagraph"/>
        <w:numPr>
          <w:ilvl w:val="0"/>
          <w:numId w:val="2"/>
        </w:numPr>
        <w:ind w:left="1418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PSM-Kunde (Systematik von PSM inkl. Kennzeichnung und Zulassung, Eigenschaften von PSM und ihre Wirkungsweisen, Vermeidung von 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siken bei der Anwendung, Erkennen gefälschter PSM)</w:t>
      </w:r>
    </w:p>
    <w:p w:rsidR="006B6C8F" w:rsidRDefault="006B6C8F" w:rsidP="00D61F4B">
      <w:pPr>
        <w:pStyle w:val="ListParagraph"/>
        <w:numPr>
          <w:ilvl w:val="0"/>
          <w:numId w:val="2"/>
        </w:numPr>
        <w:ind w:left="1418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Umgang mit PSM (Einsatz von PSM nach den vorgegebenen rechtl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chen Bestimmungen, wie z. B. Gebrauchsanweisung, Aufzeichnung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pflicht und Entsorgung)</w:t>
      </w:r>
    </w:p>
    <w:p w:rsidR="006B6C8F" w:rsidRDefault="006B6C8F" w:rsidP="00D61F4B">
      <w:pPr>
        <w:pStyle w:val="ListParagraph"/>
        <w:numPr>
          <w:ilvl w:val="0"/>
          <w:numId w:val="2"/>
        </w:numPr>
        <w:ind w:left="1418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Geräte / Ausbringung (Einsatz verschiedener technischer Geräte zur sachgerechten Ausbringung von PSM)</w:t>
      </w:r>
    </w:p>
    <w:p w:rsidR="006B6C8F" w:rsidRDefault="006B6C8F" w:rsidP="00D61F4B">
      <w:pPr>
        <w:pStyle w:val="ListParagraph"/>
        <w:numPr>
          <w:ilvl w:val="0"/>
          <w:numId w:val="2"/>
        </w:numPr>
        <w:ind w:left="1418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Risikomanagement (Möglichkeiten der Identifizierung von Gefahren und Risiken und der Beherrschung des Umgangs mit Gefahrstoffen)</w:t>
      </w:r>
    </w:p>
    <w:p w:rsidR="006B6C8F" w:rsidRDefault="006B6C8F" w:rsidP="00E01A90">
      <w:pPr>
        <w:pStyle w:val="ListParagraph"/>
        <w:numPr>
          <w:ilvl w:val="0"/>
          <w:numId w:val="2"/>
        </w:numPr>
        <w:ind w:left="1418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Anwenderschutz (Notwendigkeit von persönlichen Schutzmaßnahmen erkennen, Erste-Hilfe-Maßnahmen einleiten)</w:t>
      </w:r>
    </w:p>
    <w:p w:rsidR="006B6C8F" w:rsidRPr="00E01A90" w:rsidRDefault="006B6C8F" w:rsidP="00E01A90">
      <w:pPr>
        <w:ind w:left="851"/>
        <w:rPr>
          <w:rFonts w:ascii="Arial" w:hAnsi="Arial" w:cs="Arial"/>
          <w:sz w:val="24"/>
          <w:szCs w:val="24"/>
        </w:rPr>
      </w:pPr>
      <w:r w:rsidRPr="00E01A90">
        <w:rPr>
          <w:rFonts w:ascii="Arial" w:hAnsi="Arial" w:cs="Arial"/>
          <w:sz w:val="24"/>
          <w:szCs w:val="24"/>
        </w:rPr>
        <w:t xml:space="preserve">Unter den </w:t>
      </w:r>
      <w:r>
        <w:rPr>
          <w:rFonts w:ascii="Arial" w:hAnsi="Arial" w:cs="Arial"/>
          <w:sz w:val="24"/>
          <w:szCs w:val="24"/>
        </w:rPr>
        <w:t>vier</w:t>
      </w:r>
      <w:r w:rsidRPr="00E01A90">
        <w:rPr>
          <w:rFonts w:ascii="Arial" w:hAnsi="Arial" w:cs="Arial"/>
          <w:sz w:val="24"/>
          <w:szCs w:val="24"/>
        </w:rPr>
        <w:t xml:space="preserve"> Themenblöcken müssen folgende </w:t>
      </w:r>
      <w:r>
        <w:rPr>
          <w:rFonts w:ascii="Arial" w:hAnsi="Arial" w:cs="Arial"/>
          <w:sz w:val="24"/>
          <w:szCs w:val="24"/>
        </w:rPr>
        <w:t>zwei</w:t>
      </w:r>
      <w:r w:rsidRPr="00E01A90">
        <w:rPr>
          <w:rFonts w:ascii="Arial" w:hAnsi="Arial" w:cs="Arial"/>
          <w:sz w:val="24"/>
          <w:szCs w:val="24"/>
        </w:rPr>
        <w:t xml:space="preserve"> Themenblöcke zur Anerkennung der Fortbildungsmaßnahme </w:t>
      </w:r>
      <w:r w:rsidRPr="00006CBC">
        <w:rPr>
          <w:rFonts w:ascii="Arial" w:hAnsi="Arial" w:cs="Arial"/>
          <w:sz w:val="24"/>
          <w:szCs w:val="24"/>
          <w:u w:val="single"/>
        </w:rPr>
        <w:t>immer</w:t>
      </w:r>
      <w:r>
        <w:rPr>
          <w:rFonts w:ascii="Arial" w:hAnsi="Arial" w:cs="Arial"/>
          <w:sz w:val="24"/>
          <w:szCs w:val="24"/>
        </w:rPr>
        <w:t xml:space="preserve"> </w:t>
      </w:r>
      <w:r w:rsidRPr="00E01A90">
        <w:rPr>
          <w:rFonts w:ascii="Arial" w:hAnsi="Arial" w:cs="Arial"/>
          <w:sz w:val="24"/>
          <w:szCs w:val="24"/>
        </w:rPr>
        <w:t>Gegenstand der Veransta</w:t>
      </w:r>
      <w:r w:rsidRPr="00E01A90">
        <w:rPr>
          <w:rFonts w:ascii="Arial" w:hAnsi="Arial" w:cs="Arial"/>
          <w:sz w:val="24"/>
          <w:szCs w:val="24"/>
        </w:rPr>
        <w:t>l</w:t>
      </w:r>
      <w:r w:rsidRPr="00E01A90">
        <w:rPr>
          <w:rFonts w:ascii="Arial" w:hAnsi="Arial" w:cs="Arial"/>
          <w:sz w:val="24"/>
          <w:szCs w:val="24"/>
        </w:rPr>
        <w:t>tung sein:</w:t>
      </w:r>
    </w:p>
    <w:p w:rsidR="006B6C8F" w:rsidRPr="00F2111C" w:rsidRDefault="006B6C8F" w:rsidP="003C26D7">
      <w:pPr>
        <w:pStyle w:val="ListParagraph"/>
        <w:numPr>
          <w:ilvl w:val="0"/>
          <w:numId w:val="2"/>
        </w:numPr>
        <w:ind w:left="1418" w:hanging="284"/>
        <w:rPr>
          <w:rFonts w:ascii="Arial" w:hAnsi="Arial" w:cs="Arial"/>
          <w:sz w:val="24"/>
          <w:szCs w:val="24"/>
        </w:rPr>
      </w:pPr>
      <w:r w:rsidRPr="00F2111C">
        <w:rPr>
          <w:rFonts w:ascii="Arial" w:hAnsi="Arial" w:cs="Arial"/>
          <w:sz w:val="24"/>
          <w:szCs w:val="24"/>
        </w:rPr>
        <w:t>Rechtgrundlagen</w:t>
      </w:r>
    </w:p>
    <w:p w:rsidR="006B6C8F" w:rsidRDefault="006B6C8F" w:rsidP="00E01A90">
      <w:pPr>
        <w:pStyle w:val="ListParagraph"/>
        <w:numPr>
          <w:ilvl w:val="0"/>
          <w:numId w:val="2"/>
        </w:numPr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Integrierter Pflanzenschutz</w:t>
      </w:r>
    </w:p>
    <w:p w:rsidR="006B6C8F" w:rsidRDefault="006B6C8F" w:rsidP="00E01A90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ergänzenden Stichworte zum Inhalt der Themen sollen die geforderte Bandbreite und Ausrichtung des Fortbildungsteiles verdeutlichen. Sie können die inhaltliche Breite des Weiterbildungsschwerpunktes jedoch nicht vollstä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dig umreißen.</w:t>
      </w:r>
    </w:p>
    <w:p w:rsidR="006B6C8F" w:rsidRDefault="006B6C8F" w:rsidP="00E01A90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Zeitanteile der Themenblöcke einer Fortbildungsveranstaltung sowie Name und Qualifikation der jeweiligen Referenten sind Gegenstand der Anerke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nung.</w:t>
      </w:r>
    </w:p>
    <w:p w:rsidR="006B6C8F" w:rsidRDefault="006B6C8F" w:rsidP="009107E1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Beurteilung der</w:t>
      </w:r>
      <w:r w:rsidRPr="005C5D17">
        <w:rPr>
          <w:rFonts w:ascii="Arial" w:hAnsi="Arial" w:cs="Arial"/>
          <w:sz w:val="24"/>
          <w:szCs w:val="24"/>
        </w:rPr>
        <w:t xml:space="preserve"> fachliche Eignung der Referenten </w:t>
      </w:r>
      <w:r>
        <w:rPr>
          <w:rFonts w:ascii="Arial" w:hAnsi="Arial" w:cs="Arial"/>
          <w:sz w:val="24"/>
          <w:szCs w:val="24"/>
        </w:rPr>
        <w:t>ist anzugeben</w:t>
      </w:r>
      <w:r w:rsidRPr="005C5D17">
        <w:rPr>
          <w:rFonts w:ascii="Arial" w:hAnsi="Arial" w:cs="Arial"/>
          <w:sz w:val="24"/>
          <w:szCs w:val="24"/>
        </w:rPr>
        <w:t>:</w:t>
      </w:r>
    </w:p>
    <w:p w:rsidR="006B6C8F" w:rsidRPr="005C5D17" w:rsidRDefault="006B6C8F" w:rsidP="005C5D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D17">
        <w:rPr>
          <w:rFonts w:ascii="Arial" w:hAnsi="Arial" w:cs="Arial"/>
          <w:sz w:val="24"/>
          <w:szCs w:val="24"/>
        </w:rPr>
        <w:t>die berufliche Tätigkeit,</w:t>
      </w:r>
    </w:p>
    <w:p w:rsidR="006B6C8F" w:rsidRDefault="006B6C8F" w:rsidP="00C054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Erfahrung im Bereich des Pflanzenschutzes und des Vortragsw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sens,</w:t>
      </w:r>
    </w:p>
    <w:p w:rsidR="006B6C8F" w:rsidRDefault="006B6C8F" w:rsidP="00C054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Grundlage der Sachkunde,</w:t>
      </w:r>
    </w:p>
    <w:p w:rsidR="006B6C8F" w:rsidRDefault="006B6C8F" w:rsidP="00C054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eigene Fortbildung des Referenten.</w:t>
      </w:r>
    </w:p>
    <w:p w:rsidR="006B6C8F" w:rsidRDefault="006B6C8F" w:rsidP="00256013">
      <w:pPr>
        <w:pStyle w:val="ListParagraph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fundierte Bewertung der Referenten ist erst während der Veranstaltung möglich und kann für Folgeveranstaltungen relevant werden.</w:t>
      </w:r>
    </w:p>
    <w:p w:rsidR="006B6C8F" w:rsidRDefault="006B6C8F" w:rsidP="00256013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:rsidR="006B6C8F" w:rsidRDefault="006B6C8F" w:rsidP="005C5D17">
      <w:pPr>
        <w:pStyle w:val="ListParagraph"/>
        <w:numPr>
          <w:ilvl w:val="1"/>
          <w:numId w:val="1"/>
        </w:numPr>
        <w:ind w:hanging="5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Gesamtdauer der Veranstaltung</w:t>
      </w:r>
    </w:p>
    <w:p w:rsidR="006B6C8F" w:rsidRPr="005C5D17" w:rsidRDefault="006B6C8F" w:rsidP="005C5D17">
      <w:pPr>
        <w:pStyle w:val="ListParagraph"/>
        <w:ind w:left="851"/>
        <w:rPr>
          <w:rFonts w:ascii="Arial" w:hAnsi="Arial" w:cs="Arial"/>
          <w:sz w:val="24"/>
          <w:szCs w:val="24"/>
        </w:rPr>
      </w:pPr>
      <w:r w:rsidRPr="005C5D17">
        <w:rPr>
          <w:rFonts w:ascii="Arial" w:hAnsi="Arial" w:cs="Arial"/>
          <w:sz w:val="24"/>
          <w:szCs w:val="24"/>
        </w:rPr>
        <w:t>Die Mindestdauer der anzuerkennenden Fortbildungsmaßnahme beträgt vier Stunden. Der zeitli</w:t>
      </w:r>
      <w:r>
        <w:rPr>
          <w:rFonts w:ascii="Arial" w:hAnsi="Arial" w:cs="Arial"/>
          <w:sz w:val="24"/>
          <w:szCs w:val="24"/>
        </w:rPr>
        <w:t xml:space="preserve">che Umfang der einzelnen Themen, insbesondere der Pflichtthemen </w:t>
      </w:r>
      <w:r w:rsidRPr="005C5D17">
        <w:rPr>
          <w:rFonts w:ascii="Arial" w:hAnsi="Arial" w:cs="Arial"/>
          <w:sz w:val="24"/>
          <w:szCs w:val="24"/>
        </w:rPr>
        <w:t>muss die Zielrichtung der Fortbildung widerspie</w:t>
      </w:r>
      <w:r>
        <w:rPr>
          <w:rFonts w:ascii="Arial" w:hAnsi="Arial" w:cs="Arial"/>
          <w:sz w:val="24"/>
          <w:szCs w:val="24"/>
        </w:rPr>
        <w:t>geln.</w:t>
      </w:r>
    </w:p>
    <w:p w:rsidR="006B6C8F" w:rsidRPr="002D52E9" w:rsidRDefault="006B6C8F" w:rsidP="005C5D17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:rsidR="006B6C8F" w:rsidRDefault="006B6C8F" w:rsidP="00BB27BF">
      <w:pPr>
        <w:pStyle w:val="ListParagraph"/>
        <w:numPr>
          <w:ilvl w:val="1"/>
          <w:numId w:val="1"/>
        </w:numPr>
        <w:ind w:hanging="5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Sonstige Inhalte</w:t>
      </w:r>
    </w:p>
    <w:p w:rsidR="006B6C8F" w:rsidRDefault="006B6C8F" w:rsidP="001957DB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Sonstige Inhalte der Fortbildungsveranstaltung sind anzugeben, um einen möglichen Interessenskonflikt zwischen der Veranstaltung und den Zielen des Pflanzenschutzrechts zu vermeiden. Gem. § 7 Abs. 2 ist eine Anerkennung bereits auszuschließen, wenn die Gefahr eines Interessenkonfliktes besteht (z.B. konkrete Bewerbung einzelner Produkte; Beeinflussung zu Handlung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weisen, die den Grundsätzen des Integrierten Pflanzenschutzes widerspr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chen, die Resistenzen begünstigen, den Naturschutz gefährden können oder die Anwendungsbestimmungen relativieren). Bei der Darstellung von techn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schen Entwicklungen muss der Fokus auf deren Wirkung und nicht auf den Produktnahmen oder das Produktangebot des Herstellers gerichtet sein.</w:t>
      </w:r>
    </w:p>
    <w:p w:rsidR="006B6C8F" w:rsidRPr="001957DB" w:rsidRDefault="006B6C8F" w:rsidP="001957DB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B6C8F" w:rsidRDefault="006B6C8F" w:rsidP="00BB27BF">
      <w:pPr>
        <w:pStyle w:val="ListParagraph"/>
        <w:numPr>
          <w:ilvl w:val="1"/>
          <w:numId w:val="1"/>
        </w:numPr>
        <w:ind w:hanging="5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Anmeldungserfordernis</w:t>
      </w:r>
      <w:bookmarkStart w:id="0" w:name="_GoBack"/>
      <w:bookmarkEnd w:id="0"/>
    </w:p>
    <w:p w:rsidR="006B6C8F" w:rsidRDefault="006B6C8F" w:rsidP="001957DB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soll angegeben werden, ob es sich um eine offene oder geschlossene Veranstaltung handelt oder um eine Veranstaltung mit Anmeldungserforde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nis, um bereits bei der Veröffentlichung der anerkannten Fortbildungen die 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teressenten sinnvoll steuern zu können.</w:t>
      </w:r>
    </w:p>
    <w:p w:rsidR="006B6C8F" w:rsidRPr="001957DB" w:rsidRDefault="006B6C8F" w:rsidP="001957DB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B6C8F" w:rsidRDefault="006B6C8F" w:rsidP="001957DB">
      <w:pPr>
        <w:pStyle w:val="ListParagraph"/>
        <w:numPr>
          <w:ilvl w:val="0"/>
          <w:numId w:val="1"/>
        </w:numPr>
        <w:ind w:left="284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Veranstaltungsort und Termin der unter 2 beantragten Veranstaltung</w:t>
      </w:r>
    </w:p>
    <w:p w:rsidR="006B6C8F" w:rsidRDefault="006B6C8F" w:rsidP="004F092C">
      <w:pPr>
        <w:pStyle w:val="ListParagraph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Veranstaltungsort mit Datum und Uhrzeit der Fortbildungsveranstaltung mü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sen angegeben sein.</w:t>
      </w:r>
    </w:p>
    <w:p w:rsidR="006B6C8F" w:rsidRDefault="006B6C8F" w:rsidP="00F734BB">
      <w:pPr>
        <w:pStyle w:val="ListParagraph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genaue Terminierung muss der anerkennenden Behörde bekannt sein, um eine Überprüfung der Veranstaltung zu ermöglichen.</w:t>
      </w:r>
    </w:p>
    <w:p w:rsidR="006B6C8F" w:rsidRPr="00F734BB" w:rsidRDefault="006B6C8F" w:rsidP="00F734BB">
      <w:pPr>
        <w:pStyle w:val="ListParagraph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Anerkennungskriterium ist ebenfalls die Eignung des Veranstaltungsortes bzw. des Raumes (als ungeeignet zu betrachten sind z. B. Schankräume von Gas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stätten und Wirtshäusern sowie Räume ohne notwendige technische Aussta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tung).</w:t>
      </w:r>
    </w:p>
    <w:p w:rsidR="006B6C8F" w:rsidRPr="004F092C" w:rsidRDefault="006B6C8F" w:rsidP="004F092C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6C8F" w:rsidRPr="00256013" w:rsidRDefault="006B6C8F" w:rsidP="004F092C">
      <w:pPr>
        <w:pStyle w:val="ListParagraph"/>
        <w:numPr>
          <w:ilvl w:val="1"/>
          <w:numId w:val="1"/>
        </w:numPr>
        <w:ind w:hanging="508"/>
        <w:rPr>
          <w:rFonts w:ascii="Arial" w:hAnsi="Arial" w:cs="Arial"/>
          <w:b/>
          <w:sz w:val="24"/>
          <w:szCs w:val="24"/>
        </w:rPr>
      </w:pPr>
      <w:r w:rsidRPr="00256013">
        <w:rPr>
          <w:rFonts w:ascii="Arial" w:hAnsi="Arial" w:cs="Arial"/>
          <w:b/>
          <w:sz w:val="24"/>
          <w:szCs w:val="24"/>
        </w:rPr>
        <w:t>Hinweis auf andere Bundesländer</w:t>
      </w:r>
    </w:p>
    <w:p w:rsidR="006B6C8F" w:rsidRPr="00217F20" w:rsidRDefault="006B6C8F" w:rsidP="000E7969">
      <w:pPr>
        <w:pStyle w:val="ListParagraph"/>
        <w:rPr>
          <w:rFonts w:ascii="Arial" w:hAnsi="Arial" w:cs="Arial"/>
          <w:sz w:val="24"/>
          <w:szCs w:val="24"/>
        </w:rPr>
      </w:pPr>
      <w:r w:rsidRPr="00285402">
        <w:rPr>
          <w:rFonts w:ascii="Arial" w:hAnsi="Arial" w:cs="Arial"/>
          <w:sz w:val="24"/>
          <w:szCs w:val="24"/>
        </w:rPr>
        <w:t>Die Bundesländer informier</w:t>
      </w:r>
      <w:r>
        <w:rPr>
          <w:rFonts w:ascii="Arial" w:hAnsi="Arial" w:cs="Arial"/>
          <w:sz w:val="24"/>
          <w:szCs w:val="24"/>
        </w:rPr>
        <w:t>en sich gegenseitig über länderübergreifende Akt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vitäten von Weiterbildungsträgern und stimmen sich hinsichtlich der Bewe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tung und Zulassung von Weiterbildungskonzepten ab. </w:t>
      </w:r>
      <w:r w:rsidRPr="00285402">
        <w:rPr>
          <w:rFonts w:ascii="Arial" w:hAnsi="Arial" w:cs="Arial"/>
          <w:sz w:val="24"/>
          <w:szCs w:val="24"/>
        </w:rPr>
        <w:t xml:space="preserve">Es ist </w:t>
      </w:r>
      <w:r>
        <w:rPr>
          <w:rFonts w:ascii="Arial" w:hAnsi="Arial" w:cs="Arial"/>
          <w:sz w:val="24"/>
          <w:szCs w:val="24"/>
        </w:rPr>
        <w:t>stets</w:t>
      </w:r>
      <w:r w:rsidRPr="00285402">
        <w:rPr>
          <w:rFonts w:ascii="Arial" w:hAnsi="Arial" w:cs="Arial"/>
          <w:sz w:val="24"/>
          <w:szCs w:val="24"/>
        </w:rPr>
        <w:t xml:space="preserve"> ein eigener Antrag für jedes Bundesland erforderlich.</w:t>
      </w:r>
    </w:p>
    <w:sectPr w:rsidR="006B6C8F" w:rsidRPr="00217F20" w:rsidSect="00AE5BA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8F" w:rsidRDefault="006B6C8F" w:rsidP="00256013">
      <w:pPr>
        <w:spacing w:after="0" w:line="240" w:lineRule="auto"/>
      </w:pPr>
      <w:r>
        <w:separator/>
      </w:r>
    </w:p>
  </w:endnote>
  <w:endnote w:type="continuationSeparator" w:id="0">
    <w:p w:rsidR="006B6C8F" w:rsidRDefault="006B6C8F" w:rsidP="0025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8F" w:rsidRPr="00113BFF" w:rsidRDefault="006B6C8F">
    <w:pPr>
      <w:pStyle w:val="Footer"/>
      <w:rPr>
        <w:rFonts w:ascii="Arial" w:hAnsi="Arial" w:cs="Arial"/>
        <w:i/>
        <w:color w:val="000000"/>
        <w:sz w:val="16"/>
        <w:szCs w:val="16"/>
      </w:rPr>
    </w:pPr>
    <w:hyperlink r:id="rId1" w:history="1">
      <w:r w:rsidRPr="00113BFF">
        <w:rPr>
          <w:rStyle w:val="Hyperlink"/>
          <w:rFonts w:ascii="Arial" w:hAnsi="Arial" w:cs="Arial"/>
          <w:i/>
          <w:color w:val="000000"/>
          <w:sz w:val="16"/>
          <w:szCs w:val="16"/>
          <w:u w:val="none"/>
        </w:rPr>
        <w:t>Q:\__Dokumente\00 00_Qualitaetsmanagement\00 50_Pflanzenschutz\Allgemeiner Pflanze</w:t>
      </w:r>
      <w:r w:rsidRPr="00113BFF">
        <w:rPr>
          <w:rStyle w:val="Hyperlink"/>
          <w:rFonts w:ascii="Arial" w:hAnsi="Arial" w:cs="Arial"/>
          <w:i/>
          <w:color w:val="000000"/>
          <w:sz w:val="16"/>
          <w:szCs w:val="16"/>
          <w:u w:val="none"/>
        </w:rPr>
        <w:t>n</w:t>
      </w:r>
      <w:r w:rsidRPr="00113BFF">
        <w:rPr>
          <w:rStyle w:val="Hyperlink"/>
          <w:rFonts w:ascii="Arial" w:hAnsi="Arial" w:cs="Arial"/>
          <w:i/>
          <w:color w:val="000000"/>
          <w:sz w:val="16"/>
          <w:szCs w:val="16"/>
          <w:u w:val="none"/>
        </w:rPr>
        <w:t>schutz\Formblätter\Leitlinie</w:t>
      </w:r>
    </w:hyperlink>
    <w:r w:rsidRPr="00113BFF">
      <w:rPr>
        <w:rFonts w:ascii="Arial" w:hAnsi="Arial" w:cs="Arial"/>
        <w:i/>
        <w:color w:val="000000"/>
        <w:sz w:val="16"/>
        <w:szCs w:val="16"/>
      </w:rPr>
      <w:t>\Leitlinie_zur_bundesweiten_Anerkennung_von_Fortbildungsveransatungen_korr_Viet.docx</w:t>
    </w:r>
  </w:p>
  <w:p w:rsidR="006B6C8F" w:rsidRPr="00113BFF" w:rsidRDefault="006B6C8F">
    <w:pPr>
      <w:pStyle w:val="Footer"/>
      <w:rPr>
        <w:rFonts w:ascii="Arial" w:hAnsi="Arial" w:cs="Arial"/>
        <w:i/>
        <w:color w:val="000000"/>
        <w:sz w:val="16"/>
        <w:szCs w:val="16"/>
      </w:rPr>
    </w:pPr>
    <w:r w:rsidRPr="00113BFF">
      <w:rPr>
        <w:rFonts w:ascii="Arial" w:hAnsi="Arial" w:cs="Arial"/>
        <w:i/>
        <w:color w:val="000000"/>
        <w:sz w:val="16"/>
        <w:szCs w:val="16"/>
      </w:rPr>
      <w:t>Erstellt durch:</w:t>
    </w:r>
    <w:r>
      <w:rPr>
        <w:rFonts w:ascii="Arial" w:hAnsi="Arial" w:cs="Arial"/>
        <w:i/>
        <w:color w:val="000000"/>
        <w:sz w:val="16"/>
        <w:szCs w:val="16"/>
      </w:rPr>
      <w:t xml:space="preserve"> AG Sachkunde(Bund-Länder AG)</w:t>
    </w:r>
    <w:r>
      <w:rPr>
        <w:rFonts w:ascii="Arial" w:hAnsi="Arial" w:cs="Arial"/>
        <w:i/>
        <w:color w:val="000000"/>
        <w:sz w:val="16"/>
        <w:szCs w:val="16"/>
      </w:rPr>
      <w:tab/>
    </w:r>
    <w:r>
      <w:rPr>
        <w:rFonts w:ascii="Arial" w:hAnsi="Arial" w:cs="Arial"/>
        <w:i/>
        <w:color w:val="000000"/>
        <w:sz w:val="16"/>
        <w:szCs w:val="16"/>
      </w:rPr>
      <w:tab/>
    </w:r>
    <w:r w:rsidRPr="00113BFF">
      <w:rPr>
        <w:rFonts w:ascii="Arial" w:hAnsi="Arial" w:cs="Arial"/>
        <w:i/>
        <w:color w:val="000000"/>
        <w:sz w:val="16"/>
        <w:szCs w:val="16"/>
      </w:rPr>
      <w:t>Stand 29.08.2013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8F" w:rsidRDefault="006B6C8F" w:rsidP="00256013">
      <w:pPr>
        <w:spacing w:after="0" w:line="240" w:lineRule="auto"/>
      </w:pPr>
      <w:r>
        <w:separator/>
      </w:r>
    </w:p>
  </w:footnote>
  <w:footnote w:type="continuationSeparator" w:id="0">
    <w:p w:rsidR="006B6C8F" w:rsidRDefault="006B6C8F" w:rsidP="0025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A00"/>
    <w:multiLevelType w:val="hybridMultilevel"/>
    <w:tmpl w:val="48A43DCA"/>
    <w:lvl w:ilvl="0" w:tplc="210AC996">
      <w:start w:val="1"/>
      <w:numFmt w:val="bullet"/>
      <w:lvlText w:val="-"/>
      <w:lvlJc w:val="left"/>
      <w:pPr>
        <w:ind w:left="1637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4BD72AF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E9A6A96"/>
    <w:multiLevelType w:val="hybridMultilevel"/>
    <w:tmpl w:val="9830ED8C"/>
    <w:lvl w:ilvl="0" w:tplc="210AC996">
      <w:start w:val="1"/>
      <w:numFmt w:val="bullet"/>
      <w:lvlText w:val="-"/>
      <w:lvlJc w:val="left"/>
      <w:pPr>
        <w:ind w:left="2488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E93"/>
    <w:rsid w:val="00006CBC"/>
    <w:rsid w:val="00070CE7"/>
    <w:rsid w:val="00073977"/>
    <w:rsid w:val="000756ED"/>
    <w:rsid w:val="000B11AF"/>
    <w:rsid w:val="000D30C3"/>
    <w:rsid w:val="000E7969"/>
    <w:rsid w:val="00113BFF"/>
    <w:rsid w:val="00185D30"/>
    <w:rsid w:val="001957DB"/>
    <w:rsid w:val="001F3E93"/>
    <w:rsid w:val="00217F20"/>
    <w:rsid w:val="00222E12"/>
    <w:rsid w:val="00256013"/>
    <w:rsid w:val="00285402"/>
    <w:rsid w:val="002D52E9"/>
    <w:rsid w:val="003B1C95"/>
    <w:rsid w:val="003C26D7"/>
    <w:rsid w:val="004F092C"/>
    <w:rsid w:val="005076A8"/>
    <w:rsid w:val="00513A78"/>
    <w:rsid w:val="005C5D17"/>
    <w:rsid w:val="00651399"/>
    <w:rsid w:val="00695F96"/>
    <w:rsid w:val="006B6C8F"/>
    <w:rsid w:val="00713D40"/>
    <w:rsid w:val="00791205"/>
    <w:rsid w:val="007A6BA5"/>
    <w:rsid w:val="007C0145"/>
    <w:rsid w:val="007F1D23"/>
    <w:rsid w:val="008A44BA"/>
    <w:rsid w:val="009107E1"/>
    <w:rsid w:val="009201B9"/>
    <w:rsid w:val="0099239E"/>
    <w:rsid w:val="009B425C"/>
    <w:rsid w:val="009B7AC1"/>
    <w:rsid w:val="009C49DA"/>
    <w:rsid w:val="00AD4487"/>
    <w:rsid w:val="00AE5BAA"/>
    <w:rsid w:val="00B05F0A"/>
    <w:rsid w:val="00B17AEE"/>
    <w:rsid w:val="00B4521D"/>
    <w:rsid w:val="00B67C70"/>
    <w:rsid w:val="00B7684C"/>
    <w:rsid w:val="00B869B7"/>
    <w:rsid w:val="00BB27BF"/>
    <w:rsid w:val="00BB435E"/>
    <w:rsid w:val="00C05418"/>
    <w:rsid w:val="00C4114F"/>
    <w:rsid w:val="00C86906"/>
    <w:rsid w:val="00D61F4B"/>
    <w:rsid w:val="00D77EFB"/>
    <w:rsid w:val="00DE5940"/>
    <w:rsid w:val="00E01A90"/>
    <w:rsid w:val="00E30735"/>
    <w:rsid w:val="00E504BD"/>
    <w:rsid w:val="00E67CCD"/>
    <w:rsid w:val="00E74093"/>
    <w:rsid w:val="00F2111C"/>
    <w:rsid w:val="00F55CF0"/>
    <w:rsid w:val="00F57A19"/>
    <w:rsid w:val="00F7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2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9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60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6013"/>
    <w:rPr>
      <w:rFonts w:cs="Times New Roman"/>
    </w:rPr>
  </w:style>
  <w:style w:type="character" w:styleId="Hyperlink">
    <w:name w:val="Hyperlink"/>
    <w:basedOn w:val="DefaultParagraphFont"/>
    <w:uiPriority w:val="99"/>
    <w:rsid w:val="00113B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Q:\__Dokumente\00%2000_Qualitaetsmanagement\00%2050_Pflanzenschutz\Allgemeiner%20Pflanzenschutz\Formbl&#228;tter\Leitli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747</Words>
  <Characters>4707</Characters>
  <Application>Microsoft Office Outlook</Application>
  <DocSecurity>0</DocSecurity>
  <Lines>0</Lines>
  <Paragraphs>0</Paragraphs>
  <ScaleCrop>false</ScaleCrop>
  <Company>LWK-NRW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Leitlinie zur bundesweiten Anerkennung von Fortbildungsveranstaltungen</dc:title>
  <dc:subject/>
  <dc:creator>Gieraths, Melanie</dc:creator>
  <cp:keywords/>
  <dc:description/>
  <cp:lastModifiedBy>LMTVet</cp:lastModifiedBy>
  <cp:revision>2</cp:revision>
  <cp:lastPrinted>2013-08-01T11:28:00Z</cp:lastPrinted>
  <dcterms:created xsi:type="dcterms:W3CDTF">2013-12-20T09:35:00Z</dcterms:created>
  <dcterms:modified xsi:type="dcterms:W3CDTF">2013-12-20T09:35:00Z</dcterms:modified>
</cp:coreProperties>
</file>